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8AA" w:rsidRPr="00BE18AA" w:rsidRDefault="00BE18AA" w:rsidP="00BE18AA">
      <w:pPr>
        <w:pStyle w:val="Textoindependiente2"/>
        <w:rPr>
          <w:rFonts w:ascii="Verdana" w:eastAsia="Batang" w:hAnsi="Verdana" w:cs="Arial"/>
          <w:b/>
          <w:bCs/>
          <w:smallCaps/>
          <w:sz w:val="22"/>
          <w:szCs w:val="22"/>
        </w:rPr>
      </w:pPr>
      <w:r w:rsidRPr="00BE18AA">
        <w:rPr>
          <w:rFonts w:ascii="Verdana" w:eastAsia="Batang" w:hAnsi="Verdana" w:cs="Arial"/>
          <w:b/>
          <w:bCs/>
          <w:smallCaps/>
          <w:sz w:val="22"/>
          <w:szCs w:val="22"/>
        </w:rPr>
        <w:t xml:space="preserve">C. </w:t>
      </w:r>
      <w:proofErr w:type="spellStart"/>
      <w:r w:rsidRPr="00BE18AA">
        <w:rPr>
          <w:rFonts w:ascii="Verdana" w:eastAsia="Batang" w:hAnsi="Verdana" w:cs="Arial"/>
          <w:b/>
          <w:bCs/>
          <w:smallCaps/>
          <w:sz w:val="22"/>
          <w:szCs w:val="22"/>
        </w:rPr>
        <w:t>Dip</w:t>
      </w:r>
      <w:proofErr w:type="spellEnd"/>
      <w:r w:rsidRPr="00BE18AA">
        <w:rPr>
          <w:rFonts w:ascii="Verdana" w:eastAsia="Batang" w:hAnsi="Verdana" w:cs="Arial"/>
          <w:b/>
          <w:bCs/>
          <w:smallCaps/>
          <w:sz w:val="22"/>
          <w:szCs w:val="22"/>
        </w:rPr>
        <w:t>. Libia Dennise García Muñoz Ledo</w:t>
      </w:r>
    </w:p>
    <w:p w:rsidR="00BE18AA" w:rsidRPr="00BE18AA" w:rsidRDefault="00BE18AA" w:rsidP="00BE18AA">
      <w:pPr>
        <w:pStyle w:val="Textoindependiente2"/>
        <w:rPr>
          <w:rFonts w:ascii="Verdana" w:eastAsia="Batang" w:hAnsi="Verdana" w:cs="Arial"/>
          <w:b/>
          <w:bCs/>
          <w:smallCaps/>
          <w:sz w:val="22"/>
          <w:szCs w:val="22"/>
        </w:rPr>
      </w:pPr>
      <w:r w:rsidRPr="00BE18AA">
        <w:rPr>
          <w:rFonts w:ascii="Verdana" w:eastAsia="Batang" w:hAnsi="Verdana" w:cs="Arial"/>
          <w:b/>
          <w:bCs/>
          <w:smallCaps/>
          <w:sz w:val="22"/>
          <w:szCs w:val="22"/>
        </w:rPr>
        <w:t>Presidenta del Congreso del Estado</w:t>
      </w:r>
    </w:p>
    <w:p w:rsidR="00BE18AA" w:rsidRPr="00BE18AA" w:rsidRDefault="00BE18AA" w:rsidP="00BE18AA">
      <w:pPr>
        <w:pStyle w:val="Default"/>
        <w:jc w:val="both"/>
        <w:rPr>
          <w:sz w:val="22"/>
          <w:szCs w:val="22"/>
        </w:rPr>
      </w:pPr>
      <w:r w:rsidRPr="00BE18AA">
        <w:rPr>
          <w:rFonts w:eastAsia="Batang" w:cs="Arial"/>
          <w:b/>
          <w:bCs/>
          <w:smallCaps/>
          <w:sz w:val="22"/>
          <w:szCs w:val="22"/>
        </w:rPr>
        <w:t>P r e s e n t e</w:t>
      </w:r>
      <w:r>
        <w:rPr>
          <w:rFonts w:eastAsia="Batang" w:cs="Arial"/>
          <w:b/>
          <w:bCs/>
          <w:smallCaps/>
          <w:sz w:val="22"/>
          <w:szCs w:val="22"/>
        </w:rPr>
        <w:t>.</w:t>
      </w:r>
    </w:p>
    <w:p w:rsidR="00BE18AA" w:rsidRDefault="00BE18AA" w:rsidP="00792B40">
      <w:pPr>
        <w:pStyle w:val="Default"/>
        <w:ind w:firstLine="709"/>
        <w:jc w:val="both"/>
        <w:rPr>
          <w:sz w:val="22"/>
          <w:szCs w:val="22"/>
        </w:rPr>
      </w:pPr>
    </w:p>
    <w:p w:rsidR="00423437" w:rsidRDefault="00423437" w:rsidP="00792B40">
      <w:pPr>
        <w:pStyle w:val="Default"/>
        <w:ind w:firstLine="709"/>
        <w:jc w:val="both"/>
        <w:rPr>
          <w:sz w:val="22"/>
          <w:szCs w:val="22"/>
        </w:rPr>
      </w:pPr>
      <w:r>
        <w:rPr>
          <w:sz w:val="22"/>
          <w:szCs w:val="22"/>
        </w:rPr>
        <w:t xml:space="preserve">Las Comisiones Unidas de Hacienda y Fiscalización, y de Gobernación y Puntos Constitucionales, recibimos para efectos de estudio y dictamen, la </w:t>
      </w:r>
      <w:r>
        <w:rPr>
          <w:b/>
          <w:bCs/>
          <w:sz w:val="22"/>
          <w:szCs w:val="22"/>
        </w:rPr>
        <w:t xml:space="preserve">Iniciativa de Ley de Ingresos para el Municipio de </w:t>
      </w:r>
      <w:proofErr w:type="spellStart"/>
      <w:r>
        <w:rPr>
          <w:b/>
          <w:bCs/>
          <w:sz w:val="22"/>
          <w:szCs w:val="22"/>
        </w:rPr>
        <w:t>Tarandacu</w:t>
      </w:r>
      <w:r w:rsidR="000C1F2A">
        <w:rPr>
          <w:b/>
          <w:bCs/>
          <w:sz w:val="22"/>
          <w:szCs w:val="22"/>
        </w:rPr>
        <w:t>a</w:t>
      </w:r>
      <w:r>
        <w:rPr>
          <w:b/>
          <w:bCs/>
          <w:sz w:val="22"/>
          <w:szCs w:val="22"/>
        </w:rPr>
        <w:t>o</w:t>
      </w:r>
      <w:proofErr w:type="spellEnd"/>
      <w:r>
        <w:rPr>
          <w:b/>
          <w:bCs/>
          <w:sz w:val="22"/>
          <w:szCs w:val="22"/>
        </w:rPr>
        <w:t xml:space="preserve">, Guanajuato, para el Ejercicio Fiscal del año 2016, </w:t>
      </w:r>
      <w:r>
        <w:rPr>
          <w:sz w:val="22"/>
          <w:szCs w:val="22"/>
        </w:rPr>
        <w:t xml:space="preserve">presentada por el Ayuntamiento de </w:t>
      </w:r>
      <w:proofErr w:type="spellStart"/>
      <w:r>
        <w:rPr>
          <w:sz w:val="22"/>
          <w:szCs w:val="22"/>
        </w:rPr>
        <w:t>Tarandacu</w:t>
      </w:r>
      <w:r w:rsidR="000C1F2A">
        <w:rPr>
          <w:sz w:val="22"/>
          <w:szCs w:val="22"/>
        </w:rPr>
        <w:t>a</w:t>
      </w:r>
      <w:r>
        <w:rPr>
          <w:sz w:val="22"/>
          <w:szCs w:val="22"/>
        </w:rPr>
        <w:t>o</w:t>
      </w:r>
      <w:proofErr w:type="spellEnd"/>
      <w:r>
        <w:rPr>
          <w:sz w:val="22"/>
          <w:szCs w:val="22"/>
        </w:rPr>
        <w:t xml:space="preserve">, Guanajuato. </w:t>
      </w:r>
    </w:p>
    <w:p w:rsidR="00423437" w:rsidRDefault="00423437" w:rsidP="00792B40">
      <w:pPr>
        <w:pStyle w:val="Default"/>
        <w:ind w:firstLine="709"/>
        <w:jc w:val="both"/>
        <w:rPr>
          <w:sz w:val="22"/>
          <w:szCs w:val="22"/>
        </w:rPr>
      </w:pPr>
    </w:p>
    <w:p w:rsidR="00423437" w:rsidRDefault="00423437" w:rsidP="00792B40">
      <w:pPr>
        <w:pStyle w:val="Default"/>
        <w:ind w:firstLine="709"/>
        <w:jc w:val="both"/>
        <w:rPr>
          <w:sz w:val="22"/>
          <w:szCs w:val="22"/>
        </w:rPr>
      </w:pPr>
      <w:r>
        <w:rPr>
          <w:sz w:val="22"/>
          <w:szCs w:val="22"/>
        </w:rPr>
        <w:t xml:space="preserve">Con fundamento en los artículos 69, 78, 95 fracción XIV y párrafo último, 96 </w:t>
      </w:r>
      <w:proofErr w:type="gramStart"/>
      <w:r>
        <w:rPr>
          <w:sz w:val="22"/>
          <w:szCs w:val="22"/>
        </w:rPr>
        <w:t>fracción</w:t>
      </w:r>
      <w:proofErr w:type="gramEnd"/>
      <w:r>
        <w:rPr>
          <w:sz w:val="22"/>
          <w:szCs w:val="22"/>
        </w:rPr>
        <w:t xml:space="preserve"> II y párrafo último, y 149 de la Ley Orgánica del Poder Legislativo, analizamos la iniciativa referida, presentando a la consideración de la Asamblea, el siguiente: </w:t>
      </w:r>
    </w:p>
    <w:p w:rsidR="00423437" w:rsidRDefault="00423437" w:rsidP="00263E09">
      <w:pPr>
        <w:pStyle w:val="Default"/>
        <w:jc w:val="center"/>
        <w:rPr>
          <w:b/>
          <w:bCs/>
          <w:sz w:val="22"/>
          <w:szCs w:val="22"/>
        </w:rPr>
      </w:pPr>
      <w:r>
        <w:rPr>
          <w:b/>
          <w:bCs/>
          <w:sz w:val="22"/>
          <w:szCs w:val="22"/>
        </w:rPr>
        <w:t>D I C T A M E N</w:t>
      </w:r>
    </w:p>
    <w:p w:rsidR="00423437" w:rsidRDefault="00423437" w:rsidP="00792B40">
      <w:pPr>
        <w:pStyle w:val="Default"/>
        <w:ind w:firstLine="709"/>
        <w:jc w:val="center"/>
        <w:rPr>
          <w:sz w:val="22"/>
          <w:szCs w:val="22"/>
        </w:rPr>
      </w:pPr>
    </w:p>
    <w:p w:rsidR="00423437" w:rsidRDefault="00423437" w:rsidP="00792B40">
      <w:pPr>
        <w:pStyle w:val="Default"/>
        <w:ind w:firstLine="709"/>
        <w:jc w:val="both"/>
        <w:rPr>
          <w:sz w:val="22"/>
          <w:szCs w:val="22"/>
        </w:rPr>
      </w:pPr>
      <w:r>
        <w:rPr>
          <w:sz w:val="22"/>
          <w:szCs w:val="22"/>
        </w:rPr>
        <w:t xml:space="preserve">Nos abocamos al examen de la iniciativa descrita al tenor de los siguientes antecedentes y consideraciones. </w:t>
      </w:r>
    </w:p>
    <w:p w:rsidR="00423437" w:rsidRDefault="00423437" w:rsidP="00792B40">
      <w:pPr>
        <w:pStyle w:val="Default"/>
        <w:ind w:firstLine="709"/>
        <w:jc w:val="both"/>
        <w:rPr>
          <w:sz w:val="22"/>
          <w:szCs w:val="22"/>
        </w:rPr>
      </w:pPr>
    </w:p>
    <w:p w:rsidR="00423437" w:rsidRDefault="00423437" w:rsidP="00792B40">
      <w:pPr>
        <w:pStyle w:val="Default"/>
        <w:ind w:firstLine="709"/>
        <w:jc w:val="both"/>
        <w:rPr>
          <w:sz w:val="22"/>
          <w:szCs w:val="22"/>
        </w:rPr>
      </w:pPr>
      <w:r>
        <w:rPr>
          <w:b/>
          <w:bCs/>
          <w:sz w:val="22"/>
          <w:szCs w:val="22"/>
        </w:rPr>
        <w:t xml:space="preserve">I. Antecedentes </w:t>
      </w:r>
    </w:p>
    <w:p w:rsidR="00423437" w:rsidRPr="00BE18AA" w:rsidRDefault="00423437" w:rsidP="00792B40">
      <w:pPr>
        <w:pStyle w:val="Default"/>
        <w:ind w:firstLine="709"/>
        <w:jc w:val="both"/>
        <w:rPr>
          <w:sz w:val="10"/>
          <w:szCs w:val="10"/>
        </w:rPr>
      </w:pPr>
    </w:p>
    <w:p w:rsidR="00423437" w:rsidRDefault="00423437" w:rsidP="00792B40">
      <w:pPr>
        <w:pStyle w:val="Default"/>
        <w:ind w:firstLine="709"/>
        <w:jc w:val="both"/>
        <w:rPr>
          <w:sz w:val="22"/>
          <w:szCs w:val="22"/>
        </w:rPr>
      </w:pPr>
      <w:r>
        <w:rPr>
          <w:sz w:val="22"/>
          <w:szCs w:val="22"/>
        </w:rPr>
        <w:t xml:space="preserve">El Ayuntamiento de </w:t>
      </w:r>
      <w:proofErr w:type="spellStart"/>
      <w:r>
        <w:rPr>
          <w:sz w:val="22"/>
          <w:szCs w:val="22"/>
        </w:rPr>
        <w:t>Tarandacu</w:t>
      </w:r>
      <w:r w:rsidR="000C1F2A">
        <w:rPr>
          <w:sz w:val="22"/>
          <w:szCs w:val="22"/>
        </w:rPr>
        <w:t>a</w:t>
      </w:r>
      <w:r>
        <w:rPr>
          <w:sz w:val="22"/>
          <w:szCs w:val="22"/>
        </w:rPr>
        <w:t>o</w:t>
      </w:r>
      <w:proofErr w:type="spellEnd"/>
      <w:r>
        <w:rPr>
          <w:sz w:val="22"/>
          <w:szCs w:val="22"/>
        </w:rPr>
        <w:t xml:space="preserve">, Guanajuato, en la tercera sesión extraordinaria celebrada el día 12 de noviembre de 2015 aprobó por unanimidad de votos su iniciativa de Ley de Ingresos Municipal, misma que ingresó en la Secretaría General del Congreso del Estado el 13 de noviembre del presente año. </w:t>
      </w:r>
    </w:p>
    <w:p w:rsidR="00423437" w:rsidRDefault="00423437" w:rsidP="00792B40">
      <w:pPr>
        <w:pStyle w:val="Default"/>
        <w:ind w:firstLine="709"/>
        <w:jc w:val="both"/>
        <w:rPr>
          <w:sz w:val="22"/>
          <w:szCs w:val="22"/>
        </w:rPr>
      </w:pPr>
    </w:p>
    <w:p w:rsidR="00423437" w:rsidRDefault="00423437" w:rsidP="00792B40">
      <w:pPr>
        <w:pStyle w:val="Default"/>
        <w:ind w:firstLine="709"/>
        <w:jc w:val="both"/>
        <w:rPr>
          <w:sz w:val="22"/>
          <w:szCs w:val="22"/>
        </w:rPr>
      </w:pPr>
      <w:r>
        <w:rPr>
          <w:sz w:val="22"/>
          <w:szCs w:val="22"/>
        </w:rPr>
        <w:t xml:space="preserve">En la sesión ordinaria del pasado 19 de noviembre del año en curso, la presidencia del Congreso del Estado dio cuenta a la Asamblea con la iniciativa de mérito, turnándola a estas Comisiones Unidas de Hacienda y Fiscalización y de Gobernación y Puntos Constitucionales, para su estudio y dictamen. </w:t>
      </w:r>
    </w:p>
    <w:p w:rsidR="00423437" w:rsidRDefault="00423437" w:rsidP="00792B40">
      <w:pPr>
        <w:pStyle w:val="Default"/>
        <w:ind w:firstLine="709"/>
        <w:jc w:val="both"/>
        <w:rPr>
          <w:sz w:val="22"/>
          <w:szCs w:val="22"/>
        </w:rPr>
      </w:pPr>
    </w:p>
    <w:p w:rsidR="00423437" w:rsidRDefault="00423437" w:rsidP="00792B40">
      <w:pPr>
        <w:pStyle w:val="Default"/>
        <w:ind w:firstLine="709"/>
        <w:jc w:val="both"/>
        <w:rPr>
          <w:sz w:val="22"/>
          <w:szCs w:val="22"/>
        </w:rPr>
      </w:pPr>
      <w:r>
        <w:rPr>
          <w:sz w:val="22"/>
          <w:szCs w:val="22"/>
        </w:rPr>
        <w:t xml:space="preserve">Turnada la iniciativa, las Comisiones Unidas radicamos la iniciativa el propio día del mes y año, y procedimos a su estudio, a fin de rendir el dictamen correspondiente. </w:t>
      </w:r>
    </w:p>
    <w:p w:rsidR="00423437" w:rsidRDefault="00423437" w:rsidP="00792B40">
      <w:pPr>
        <w:pStyle w:val="Default"/>
        <w:ind w:firstLine="709"/>
        <w:jc w:val="both"/>
        <w:rPr>
          <w:sz w:val="22"/>
          <w:szCs w:val="22"/>
        </w:rPr>
      </w:pPr>
    </w:p>
    <w:p w:rsidR="00423437" w:rsidRDefault="00423437" w:rsidP="00792B40">
      <w:pPr>
        <w:pStyle w:val="Default"/>
        <w:ind w:firstLine="709"/>
        <w:jc w:val="both"/>
        <w:rPr>
          <w:b/>
          <w:bCs/>
          <w:sz w:val="22"/>
          <w:szCs w:val="22"/>
        </w:rPr>
      </w:pPr>
      <w:r>
        <w:rPr>
          <w:b/>
          <w:bCs/>
          <w:sz w:val="22"/>
          <w:szCs w:val="22"/>
        </w:rPr>
        <w:t xml:space="preserve">II. Consideraciones. </w:t>
      </w:r>
    </w:p>
    <w:p w:rsidR="00423437" w:rsidRPr="00BE18AA" w:rsidRDefault="00423437" w:rsidP="00792B40">
      <w:pPr>
        <w:pStyle w:val="Default"/>
        <w:ind w:firstLine="709"/>
        <w:jc w:val="both"/>
        <w:rPr>
          <w:sz w:val="10"/>
          <w:szCs w:val="10"/>
        </w:rPr>
      </w:pPr>
    </w:p>
    <w:p w:rsidR="00423437" w:rsidRDefault="00423437" w:rsidP="00792B40">
      <w:pPr>
        <w:pStyle w:val="Default"/>
        <w:ind w:firstLine="709"/>
        <w:jc w:val="both"/>
        <w:rPr>
          <w:color w:val="auto"/>
          <w:sz w:val="22"/>
          <w:szCs w:val="22"/>
        </w:rPr>
      </w:pPr>
      <w:r>
        <w:rPr>
          <w:sz w:val="22"/>
          <w:szCs w:val="22"/>
        </w:rPr>
        <w:t>Este Congreso del Estado es competente para conocer y analizar la iniciativa objeto del presen</w:t>
      </w:r>
      <w:bookmarkStart w:id="0" w:name="_GoBack"/>
      <w:bookmarkEnd w:id="0"/>
      <w:r>
        <w:rPr>
          <w:sz w:val="22"/>
          <w:szCs w:val="22"/>
        </w:rPr>
        <w:t xml:space="preserve">te dictamen, conforme lo establecido en los artículos 31 fracción IV y 115 fracción IV penúltimo párrafo de la Constitución Política de los Estados </w:t>
      </w:r>
      <w:r w:rsidRPr="00792B40">
        <w:rPr>
          <w:sz w:val="22"/>
          <w:szCs w:val="22"/>
        </w:rPr>
        <w:t>Unidos Mexicanos; 19 fracción II y 63 fracciones II y XV y 121 de la Constitución</w:t>
      </w:r>
      <w:r>
        <w:rPr>
          <w:color w:val="auto"/>
          <w:sz w:val="22"/>
          <w:szCs w:val="22"/>
        </w:rPr>
        <w:t xml:space="preserve"> Política para el Estado de Guanajuato; y 1 de la Ley de Hacienda para los Municipios del Estado de Guanajuato. </w:t>
      </w:r>
    </w:p>
    <w:p w:rsidR="00423437" w:rsidRDefault="00423437" w:rsidP="00792B40">
      <w:pPr>
        <w:pStyle w:val="Default"/>
        <w:ind w:firstLine="709"/>
        <w:jc w:val="both"/>
        <w:rPr>
          <w:color w:val="auto"/>
          <w:sz w:val="22"/>
          <w:szCs w:val="22"/>
        </w:rPr>
      </w:pPr>
      <w:r>
        <w:rPr>
          <w:color w:val="auto"/>
          <w:sz w:val="22"/>
          <w:szCs w:val="22"/>
        </w:rPr>
        <w:lastRenderedPageBreak/>
        <w:t xml:space="preserve">Derivado del contexto constitucional citado, los ayuntamientos se encuentran legitimados para promover y activar el procedimiento legislativo fiscal municipal. Previo análisis de la materia de la iniciativa de ley, las Comisiones Unidas de Hacienda y Fiscalización y de Gobernación y Puntos Constitucionales, resultamos competentes para conocer y dictaminar el expediente que nos fue remitido, lo anterior con apoyo en los artículos 95 fracción XIV y párrafo último y 96 fracción II y párrafo último, de la Ley Orgánica del Poder Legislativo. </w:t>
      </w:r>
    </w:p>
    <w:p w:rsidR="00792B40" w:rsidRPr="00792B40" w:rsidRDefault="00792B40" w:rsidP="00792B40">
      <w:pPr>
        <w:spacing w:line="360" w:lineRule="auto"/>
        <w:ind w:firstLine="709"/>
        <w:jc w:val="both"/>
        <w:rPr>
          <w:rFonts w:ascii="Arial" w:hAnsi="Arial" w:cs="Arial"/>
        </w:rPr>
      </w:pPr>
    </w:p>
    <w:p w:rsidR="002B4F13" w:rsidRPr="00792B40" w:rsidRDefault="002B4F13" w:rsidP="00792B40">
      <w:pPr>
        <w:pStyle w:val="Default"/>
        <w:ind w:firstLine="709"/>
        <w:jc w:val="both"/>
        <w:rPr>
          <w:b/>
          <w:bCs/>
          <w:sz w:val="22"/>
          <w:szCs w:val="22"/>
        </w:rPr>
      </w:pPr>
      <w:r w:rsidRPr="00792B40">
        <w:rPr>
          <w:b/>
          <w:bCs/>
          <w:sz w:val="22"/>
          <w:szCs w:val="22"/>
        </w:rPr>
        <w:t xml:space="preserve">II.1. Metodología para el análisis de la iniciativa. </w:t>
      </w:r>
    </w:p>
    <w:p w:rsidR="002B4F13" w:rsidRPr="00792B40" w:rsidRDefault="002B4F13" w:rsidP="00792B40">
      <w:pPr>
        <w:spacing w:line="360" w:lineRule="auto"/>
        <w:ind w:firstLine="709"/>
        <w:jc w:val="both"/>
        <w:rPr>
          <w:rFonts w:ascii="Arial" w:hAnsi="Arial" w:cs="Arial"/>
        </w:rPr>
      </w:pPr>
    </w:p>
    <w:p w:rsidR="002B4F13" w:rsidRPr="00792B40" w:rsidRDefault="002B4F13" w:rsidP="00792B40">
      <w:pPr>
        <w:pStyle w:val="Default"/>
        <w:ind w:firstLine="709"/>
        <w:jc w:val="both"/>
        <w:rPr>
          <w:color w:val="auto"/>
          <w:sz w:val="22"/>
          <w:szCs w:val="22"/>
        </w:rPr>
      </w:pPr>
      <w:r w:rsidRPr="00792B40">
        <w:rPr>
          <w:color w:val="auto"/>
          <w:sz w:val="22"/>
          <w:szCs w:val="22"/>
        </w:rPr>
        <w:t>Las Comisiones Dictaminadoras acordamos como metodología de trabajo para la discusión de las iniciativas de leyes de ingresos municipales presentadas, que el análisis y discusión de las cuarenta y seis iniciativas se hiciera por los integrantes de estas Comisiones Unidas de Hacienda y Fiscalización, y de Gobernación y Puntos Constitucionales, mediante la revisión de los proyectos de dictámenes presentados por la Dirección General de Apoyo Parlamentario.</w:t>
      </w:r>
    </w:p>
    <w:p w:rsidR="002B4F13" w:rsidRPr="00792B40" w:rsidRDefault="002B4F13" w:rsidP="00792B40">
      <w:pPr>
        <w:pStyle w:val="Default"/>
        <w:ind w:firstLine="709"/>
        <w:jc w:val="both"/>
        <w:rPr>
          <w:color w:val="auto"/>
          <w:sz w:val="22"/>
          <w:szCs w:val="22"/>
        </w:rPr>
      </w:pPr>
    </w:p>
    <w:p w:rsidR="002B4F13" w:rsidRPr="00792B40" w:rsidRDefault="002B4F13" w:rsidP="00792B40">
      <w:pPr>
        <w:pStyle w:val="Default"/>
        <w:ind w:firstLine="709"/>
        <w:jc w:val="both"/>
        <w:rPr>
          <w:color w:val="auto"/>
          <w:sz w:val="22"/>
          <w:szCs w:val="22"/>
        </w:rPr>
      </w:pPr>
      <w:r w:rsidRPr="00792B40">
        <w:rPr>
          <w:color w:val="auto"/>
          <w:sz w:val="22"/>
          <w:szCs w:val="22"/>
        </w:rPr>
        <w:t>Se acordó retomar los criterios generales recopilados del análisis de las iniciativas de leyes de ingresos municipales del ejercicio fiscal 2015. Dichos criterios generales deben observarse en acatamiento estricto a los principios constitucionales y legales vigentes.</w:t>
      </w:r>
    </w:p>
    <w:p w:rsidR="002B4F13" w:rsidRPr="00792B40" w:rsidRDefault="002B4F13" w:rsidP="00792B40">
      <w:pPr>
        <w:pStyle w:val="Default"/>
        <w:ind w:firstLine="709"/>
        <w:jc w:val="both"/>
        <w:rPr>
          <w:color w:val="auto"/>
          <w:sz w:val="22"/>
          <w:szCs w:val="22"/>
        </w:rPr>
      </w:pPr>
    </w:p>
    <w:p w:rsidR="002B4F13" w:rsidRPr="00792B40" w:rsidRDefault="002B4F13" w:rsidP="00792B40">
      <w:pPr>
        <w:pStyle w:val="Default"/>
        <w:ind w:firstLine="709"/>
        <w:jc w:val="both"/>
        <w:rPr>
          <w:color w:val="auto"/>
          <w:sz w:val="22"/>
          <w:szCs w:val="22"/>
        </w:rPr>
      </w:pPr>
      <w:r w:rsidRPr="00792B40">
        <w:rPr>
          <w:color w:val="auto"/>
          <w:sz w:val="22"/>
          <w:szCs w:val="22"/>
        </w:rPr>
        <w:t>Asimismo, prestar especial atención a las disposiciones del nuevo Código Territorial para el Estado y los Municipios de Guanajuato, con impacto en las leyes de ingresos.</w:t>
      </w:r>
    </w:p>
    <w:p w:rsidR="00423437" w:rsidRDefault="00423437" w:rsidP="00792B40">
      <w:pPr>
        <w:pStyle w:val="Default"/>
        <w:ind w:firstLine="709"/>
        <w:jc w:val="both"/>
        <w:rPr>
          <w:rFonts w:cstheme="minorBidi"/>
          <w:color w:val="auto"/>
          <w:lang w:val="es-ES"/>
        </w:rPr>
      </w:pPr>
    </w:p>
    <w:p w:rsidR="00423437" w:rsidRDefault="00423437" w:rsidP="00792B40">
      <w:pPr>
        <w:pStyle w:val="Default"/>
        <w:ind w:firstLine="709"/>
        <w:jc w:val="both"/>
        <w:rPr>
          <w:b/>
          <w:bCs/>
          <w:color w:val="auto"/>
          <w:sz w:val="22"/>
          <w:szCs w:val="22"/>
        </w:rPr>
      </w:pPr>
      <w:r>
        <w:rPr>
          <w:b/>
          <w:bCs/>
          <w:color w:val="auto"/>
          <w:sz w:val="22"/>
          <w:szCs w:val="22"/>
        </w:rPr>
        <w:t xml:space="preserve">II.2. Elaboración y valoración de los estudios técnicos de las contribuciones.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Como parte de la metodología, se solicitó a la Dirección General de Apoyo Parlamentario así como a la Unidad de Estudios de las Finanzas Públicas, con el apoyo del Órgano de Fiscalización Superior y de la Comisión Estatal del Agua, la elaboración y presentación de seis estudios por cada iniciativa de ley, en los </w:t>
      </w:r>
      <w:r w:rsidR="000C1F2A">
        <w:rPr>
          <w:color w:val="auto"/>
          <w:sz w:val="22"/>
          <w:szCs w:val="22"/>
        </w:rPr>
        <w:t>siguientes</w:t>
      </w:r>
      <w:r>
        <w:rPr>
          <w:color w:val="auto"/>
          <w:sz w:val="22"/>
          <w:szCs w:val="22"/>
        </w:rPr>
        <w:t xml:space="preserve"> aspectos: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b/>
          <w:bCs/>
          <w:color w:val="auto"/>
          <w:sz w:val="20"/>
          <w:szCs w:val="20"/>
        </w:rPr>
        <w:t xml:space="preserve">a) </w:t>
      </w:r>
      <w:r>
        <w:rPr>
          <w:b/>
          <w:bCs/>
          <w:color w:val="auto"/>
          <w:sz w:val="22"/>
          <w:szCs w:val="22"/>
        </w:rPr>
        <w:t xml:space="preserve">Socioeconómico: </w:t>
      </w:r>
      <w:r>
        <w:rPr>
          <w:color w:val="auto"/>
          <w:sz w:val="22"/>
          <w:szCs w:val="22"/>
        </w:rPr>
        <w:t xml:space="preserve">Se realizó un diagnóstico sobre las finanzas municipales del año anterior y el corte a la última cuenta pública presentada, detallando la eficiencia de la recaudación por las principales contribuciones. Además, se informa sobre su capacidad financiera, su población, viviendas, tasa de desempleo, ingreso per cápita, entre otros indicadores que se valoran en la toma de decisiones. </w:t>
      </w:r>
    </w:p>
    <w:p w:rsidR="00423437" w:rsidRDefault="00423437" w:rsidP="00792B40">
      <w:pPr>
        <w:pStyle w:val="Default"/>
        <w:ind w:firstLine="709"/>
        <w:jc w:val="both"/>
        <w:rPr>
          <w:color w:val="auto"/>
          <w:sz w:val="22"/>
          <w:szCs w:val="22"/>
        </w:rPr>
      </w:pPr>
      <w:r>
        <w:rPr>
          <w:rFonts w:cstheme="minorBidi"/>
          <w:b/>
          <w:bCs/>
          <w:color w:val="auto"/>
          <w:sz w:val="20"/>
          <w:szCs w:val="20"/>
        </w:rPr>
        <w:lastRenderedPageBreak/>
        <w:t xml:space="preserve">b) </w:t>
      </w:r>
      <w:r>
        <w:rPr>
          <w:rFonts w:cstheme="minorBidi"/>
          <w:b/>
          <w:bCs/>
          <w:color w:val="auto"/>
          <w:sz w:val="22"/>
          <w:szCs w:val="22"/>
        </w:rPr>
        <w:t xml:space="preserve">Jurídico: </w:t>
      </w:r>
      <w:r>
        <w:rPr>
          <w:color w:val="auto"/>
          <w:sz w:val="22"/>
          <w:szCs w:val="22"/>
        </w:rPr>
        <w:t xml:space="preserve">Se realizó un estudio sobre la viabilidad jurídica de las contribuciones y sus incrementos, analizando la parte expositiva o argumentativa del iniciante, en relación directa al contexto constitucional, legal y jurisprudencial aplicable.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Toda vez que el Código Territorial para el Estado y los Municipios de Guanajuato, tiene por objeto establecer las normas, principios y bases para: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El ordenamiento y administración sustentable del territorio del Estado de Guanajuato;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La formulación, aprobación, cumplimiento, evaluación y actualización de los programas a que se refiere el presente ordenamiento;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La conservación y restauración de los espacios naturales del Estado de Guanajuato;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La gestión, conservación y preservación de las aguas de jurisdicción estatal, para lograr un desarrollo sustentable;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La fundación, consolidación, mejoramiento, conservación y crecimiento de los centros de población;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La construcción, mantenimiento y conservación de la infraestructura pública y del equipamiento urbano;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La prestación de los servicios públicos de suministro de agua potable y de drenaje, tratamiento y disposición de aguas residuales, así como la operación de las redes y sistemas de alcantarillado y de conducción de agua potable; </w:t>
      </w:r>
    </w:p>
    <w:p w:rsidR="00792B40" w:rsidRDefault="00792B40"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La regulación, autorización, control y vigilancia de la utilización del suelo, las construcciones y la urbanización de áreas e inmuebles de propiedad pública, privada o social;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La regulación, autorización, control y vigilancia de la división de bienes inmuebles, así como de los fraccionamientos y desarrollos en condominio; </w:t>
      </w:r>
    </w:p>
    <w:p w:rsidR="00792B40" w:rsidRDefault="00792B40"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La definición de las políticas de vivienda y de los proyectos y acciones habitacionales a cargo de los gobiernos del Estado y, de los municipios, así como la atención prioritaria de las necesidades sociales de vivienda popular o económica y de interés social;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lastRenderedPageBreak/>
        <w:t xml:space="preserve">La participación social en el ordenamiento sustentable del territorio; y La realización de acciones de inspección y vigilancia, la determinación de las infracciones y la imposición de sanciones y medidas de seguridad.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Estimamos prestar atención a este ordenamiento, a efecto de que en las leyes de ingresos se establezca la terminología que se emplea en el Código, como una manera de dar certeza al contribuyente.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Además de contar con la previsión ante los nuevos cobros que se pretendan, con sustento en este ordenamiento. </w:t>
      </w:r>
    </w:p>
    <w:p w:rsidR="00423437" w:rsidRDefault="00423437" w:rsidP="00792B40">
      <w:pPr>
        <w:pStyle w:val="Default"/>
        <w:ind w:firstLine="709"/>
        <w:jc w:val="both"/>
        <w:rPr>
          <w:color w:val="auto"/>
          <w:sz w:val="22"/>
          <w:szCs w:val="22"/>
        </w:rPr>
      </w:pPr>
    </w:p>
    <w:p w:rsidR="00423437" w:rsidRDefault="00423437" w:rsidP="00792B40">
      <w:pPr>
        <w:pStyle w:val="Default"/>
        <w:tabs>
          <w:tab w:val="left" w:pos="709"/>
        </w:tabs>
        <w:ind w:firstLine="709"/>
        <w:jc w:val="both"/>
        <w:rPr>
          <w:color w:val="auto"/>
          <w:sz w:val="22"/>
          <w:szCs w:val="22"/>
        </w:rPr>
      </w:pPr>
      <w:r>
        <w:rPr>
          <w:b/>
          <w:bCs/>
          <w:color w:val="auto"/>
          <w:sz w:val="20"/>
          <w:szCs w:val="20"/>
        </w:rPr>
        <w:t xml:space="preserve">c) </w:t>
      </w:r>
      <w:r>
        <w:rPr>
          <w:b/>
          <w:bCs/>
          <w:color w:val="auto"/>
          <w:sz w:val="22"/>
          <w:szCs w:val="22"/>
        </w:rPr>
        <w:t xml:space="preserve">Cuantitativo: </w:t>
      </w:r>
      <w:r>
        <w:rPr>
          <w:color w:val="auto"/>
          <w:sz w:val="22"/>
          <w:szCs w:val="22"/>
        </w:rPr>
        <w:t xml:space="preserve">Se realizó un estudio cuantitativo de las tasas, tarifas y cuotas del año presente y la propuesta 2016, identificándose con precisión las variaciones porcentuales y correlativamente su procedencia o justificación en la tarjeta jurídica. </w:t>
      </w:r>
    </w:p>
    <w:p w:rsidR="00423437" w:rsidRDefault="00423437" w:rsidP="00792B40">
      <w:pPr>
        <w:pStyle w:val="Default"/>
        <w:tabs>
          <w:tab w:val="left" w:pos="709"/>
        </w:tabs>
        <w:ind w:firstLine="709"/>
        <w:jc w:val="both"/>
        <w:rPr>
          <w:color w:val="auto"/>
          <w:sz w:val="22"/>
          <w:szCs w:val="22"/>
        </w:rPr>
      </w:pPr>
    </w:p>
    <w:p w:rsidR="00423437" w:rsidRDefault="00423437" w:rsidP="00792B40">
      <w:pPr>
        <w:pStyle w:val="Default"/>
        <w:tabs>
          <w:tab w:val="left" w:pos="709"/>
        </w:tabs>
        <w:ind w:firstLine="709"/>
        <w:jc w:val="both"/>
        <w:rPr>
          <w:color w:val="auto"/>
          <w:sz w:val="22"/>
          <w:szCs w:val="22"/>
        </w:rPr>
      </w:pPr>
      <w:r>
        <w:rPr>
          <w:b/>
          <w:bCs/>
          <w:color w:val="auto"/>
          <w:sz w:val="20"/>
          <w:szCs w:val="20"/>
        </w:rPr>
        <w:t xml:space="preserve">d) </w:t>
      </w:r>
      <w:r>
        <w:rPr>
          <w:b/>
          <w:bCs/>
          <w:color w:val="auto"/>
          <w:sz w:val="22"/>
          <w:szCs w:val="22"/>
        </w:rPr>
        <w:t xml:space="preserve">Predial: </w:t>
      </w:r>
      <w:r>
        <w:rPr>
          <w:color w:val="auto"/>
          <w:sz w:val="22"/>
          <w:szCs w:val="22"/>
        </w:rPr>
        <w:t xml:space="preserve">Se realizó un estudio comparado de tasas, valores de suelo, construcción, rústicos y menores a una hectárea, ello con el fin de dar un trato pormenorizado a esta fuente principal de financiamiento fiscal del municipio, amén de la revisión escrupulosa de los estudios técnicos presentados como soporte a las modificaciones cuantitativas y estructurales de esta importante contribución. </w:t>
      </w:r>
    </w:p>
    <w:p w:rsidR="00423437" w:rsidRDefault="00423437" w:rsidP="00792B40">
      <w:pPr>
        <w:pStyle w:val="Default"/>
        <w:tabs>
          <w:tab w:val="left" w:pos="709"/>
        </w:tabs>
        <w:ind w:firstLine="709"/>
        <w:jc w:val="both"/>
        <w:rPr>
          <w:color w:val="auto"/>
          <w:sz w:val="22"/>
          <w:szCs w:val="22"/>
        </w:rPr>
      </w:pPr>
    </w:p>
    <w:p w:rsidR="00423437" w:rsidRDefault="00423437" w:rsidP="00792B40">
      <w:pPr>
        <w:pStyle w:val="Default"/>
        <w:tabs>
          <w:tab w:val="left" w:pos="709"/>
        </w:tabs>
        <w:ind w:firstLine="709"/>
        <w:jc w:val="both"/>
        <w:rPr>
          <w:color w:val="auto"/>
          <w:sz w:val="22"/>
          <w:szCs w:val="22"/>
        </w:rPr>
      </w:pPr>
      <w:r>
        <w:rPr>
          <w:b/>
          <w:bCs/>
          <w:color w:val="auto"/>
          <w:sz w:val="20"/>
          <w:szCs w:val="20"/>
        </w:rPr>
        <w:t xml:space="preserve">e) </w:t>
      </w:r>
      <w:r>
        <w:rPr>
          <w:b/>
          <w:bCs/>
          <w:color w:val="auto"/>
          <w:sz w:val="22"/>
          <w:szCs w:val="22"/>
        </w:rPr>
        <w:t xml:space="preserve">Agua potable: </w:t>
      </w:r>
      <w:r>
        <w:rPr>
          <w:color w:val="auto"/>
          <w:sz w:val="22"/>
          <w:szCs w:val="22"/>
        </w:rPr>
        <w:t xml:space="preserve">Se realizó un estudio técnico integral sobre el particular, los aspectos jurídicos, hacendarios, administrativos, entre otros, los que se detallaron con precisión bajo dos vertientes: la importancia de la sustentabilidad del servicio en la sociedad sin impacto considerable, y la solidez gradual de la hacienda pública. </w:t>
      </w:r>
    </w:p>
    <w:p w:rsidR="00423437" w:rsidRDefault="00423437" w:rsidP="00792B40">
      <w:pPr>
        <w:pStyle w:val="Default"/>
        <w:tabs>
          <w:tab w:val="left" w:pos="709"/>
        </w:tabs>
        <w:ind w:firstLine="709"/>
        <w:jc w:val="both"/>
        <w:rPr>
          <w:color w:val="auto"/>
          <w:sz w:val="22"/>
          <w:szCs w:val="22"/>
        </w:rPr>
      </w:pPr>
    </w:p>
    <w:p w:rsidR="00423437" w:rsidRDefault="00423437" w:rsidP="00792B40">
      <w:pPr>
        <w:pStyle w:val="Default"/>
        <w:tabs>
          <w:tab w:val="left" w:pos="709"/>
        </w:tabs>
        <w:ind w:firstLine="709"/>
        <w:jc w:val="both"/>
        <w:rPr>
          <w:color w:val="auto"/>
          <w:sz w:val="22"/>
          <w:szCs w:val="22"/>
        </w:rPr>
      </w:pPr>
      <w:r>
        <w:rPr>
          <w:b/>
          <w:bCs/>
          <w:color w:val="auto"/>
          <w:sz w:val="20"/>
          <w:szCs w:val="20"/>
        </w:rPr>
        <w:t xml:space="preserve">f) </w:t>
      </w:r>
      <w:r>
        <w:rPr>
          <w:b/>
          <w:bCs/>
          <w:color w:val="auto"/>
          <w:sz w:val="22"/>
          <w:szCs w:val="22"/>
        </w:rPr>
        <w:t xml:space="preserve">Derecho de alumbrado público: </w:t>
      </w:r>
      <w:r>
        <w:rPr>
          <w:color w:val="auto"/>
          <w:sz w:val="22"/>
          <w:szCs w:val="22"/>
        </w:rPr>
        <w:t xml:space="preserve">Se realizó un estudio en relación a la facturación, recaudación, así como de la relación de la facturación 5A, la recaudación, los amparos y el balance, además la relación de facturación con el padrón por sector y por último el procedimiento de cálculo para el año dos mil catorce.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Quienes integramos estas Comisiones Unidas estimamos que, con la finalidad de cumplir cabalmente con nuestra responsabilidad legislativa, el iniciante debe conocer los razonamientos que nos motivaron para apoyar o no sus pretensiones tributarias, razón por la cual, el dictamen se ocupa de aquellos conceptos propuestos por el iniciante que no fueron aprobados o aquéllos que fueron modificados por estas Comisiones Unidas, argumentándose únicamente los ajustes a la iniciativa y las correspondientes modificaciones. Asimismo, cabe </w:t>
      </w:r>
      <w:r>
        <w:rPr>
          <w:color w:val="auto"/>
          <w:sz w:val="22"/>
          <w:szCs w:val="22"/>
        </w:rPr>
        <w:lastRenderedPageBreak/>
        <w:t xml:space="preserve">señalar que en las decisiones que se tomaron, las Comisiones Unidas valoramos los estudios técnicos y criterios mencionados.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En todos aquellos ingresos ordinarios y extraordinarios que no denotaron cambio normativo alguno, fue en razón de que estas Comisiones Unidas consideramos acertado el contenido de cada uno en los términos que lo presentó el</w:t>
      </w:r>
      <w:r w:rsidR="00654130">
        <w:rPr>
          <w:color w:val="auto"/>
          <w:sz w:val="22"/>
          <w:szCs w:val="22"/>
        </w:rPr>
        <w:t xml:space="preserve"> cuerpo edilicio</w:t>
      </w:r>
      <w:r>
        <w:rPr>
          <w:color w:val="auto"/>
          <w:sz w:val="22"/>
          <w:szCs w:val="22"/>
        </w:rPr>
        <w:t xml:space="preserve"> iniciante. Asimismo todos aquellos conceptos cuyas variaciones se justificaron en la exposición de motivos, no generaron argumento alguno por parte de estas Comisiones Unidas.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b/>
          <w:bCs/>
          <w:color w:val="auto"/>
          <w:sz w:val="22"/>
          <w:szCs w:val="22"/>
        </w:rPr>
      </w:pPr>
      <w:r>
        <w:rPr>
          <w:b/>
          <w:bCs/>
          <w:color w:val="auto"/>
          <w:sz w:val="22"/>
          <w:szCs w:val="22"/>
        </w:rPr>
        <w:t xml:space="preserve">II.3. Consideraciones Generales.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El trabajo de análisis se </w:t>
      </w:r>
      <w:proofErr w:type="spellStart"/>
      <w:r>
        <w:rPr>
          <w:color w:val="auto"/>
          <w:sz w:val="22"/>
          <w:szCs w:val="22"/>
        </w:rPr>
        <w:t>guió</w:t>
      </w:r>
      <w:proofErr w:type="spellEnd"/>
      <w:r>
        <w:rPr>
          <w:color w:val="auto"/>
          <w:sz w:val="22"/>
          <w:szCs w:val="22"/>
        </w:rPr>
        <w:t xml:space="preserve"> buscando respetar los principios de las contribuciones, contenidos en la fracción IV del artículo 31 de la Constitución General de la República, mismo que consagra los principios constitucionales tributarios de: reserva de ley, destino al gasto público, proporcionalidad y equidad; los cuales además de ser garantías individuales, enuncian las características que pueden llevarnos a construir un concepto jurídico de tributo o contribución con base en la Norma Fundamental.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b/>
          <w:bCs/>
          <w:color w:val="auto"/>
          <w:sz w:val="22"/>
          <w:szCs w:val="22"/>
        </w:rPr>
      </w:pPr>
      <w:r>
        <w:rPr>
          <w:b/>
          <w:bCs/>
          <w:color w:val="auto"/>
          <w:sz w:val="22"/>
          <w:szCs w:val="22"/>
        </w:rPr>
        <w:t xml:space="preserve">II.4. Consideraciones Particulares.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Del análisis general de la iniciativa, determinamos que el Ayuntamiento iniciante propone incrementos promedio del 3% a las tarifas y cuotas, con respecto a las aplicables para el ejercicio fiscal de 2015.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En este sentido, la propia Suprema Corte ha definido que para actualizar las tarifas y cuotas, es constitucional acudir al factor inflacionario que ofrece el Instituto Nacional de Estadística y Geografía (INEGI), como puede apreciarse en la tesis de jurisprudencia identificada bajo el rubro: «</w:t>
      </w:r>
      <w:r>
        <w:rPr>
          <w:b/>
          <w:bCs/>
          <w:i/>
          <w:iCs/>
          <w:color w:val="auto"/>
          <w:sz w:val="22"/>
          <w:szCs w:val="22"/>
        </w:rPr>
        <w:t>ÍNDICE NACIONAL DE PRECIOS AL CONSUMIDOR. CONSTITUYE UN ELEMENTO NECESARIO PARA DETERMINAR EL MONTO DE LAS CONTRIBUCIONES Y, EN TANTO QUE ES CUANTIFICADO POR UN ÓRGANO DEL ESTADO, LAS DISPOSICIONES QUE REGULAN SU CÁLCULO SE ENCUENTRAN SUJETAS AL PRINCIPIO DE LEGALIDAD TRIBUTARIA PREVISTO EN EL ARTÍCULO 31, FRACCIÓN IV, DE LA CONSTITUCIÓN FEDERAL</w:t>
      </w:r>
      <w:r>
        <w:rPr>
          <w:color w:val="auto"/>
          <w:sz w:val="22"/>
          <w:szCs w:val="22"/>
        </w:rPr>
        <w:t xml:space="preserve">»; por lo que, con estas razones, resulta procedente en lo general la propuesta. </w:t>
      </w:r>
    </w:p>
    <w:p w:rsidR="00423437" w:rsidRDefault="00423437"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lastRenderedPageBreak/>
        <w:t xml:space="preserve">En todos aquellos ingresos ordinarios y extraordinarios que no denotaron cambio normativo alguno, fue en razón de que estas Comisiones Unidas consideramos acertado el contenido de cada uno en los términos que lo presentó el </w:t>
      </w:r>
      <w:r w:rsidR="00733EBD">
        <w:rPr>
          <w:color w:val="auto"/>
          <w:sz w:val="22"/>
          <w:szCs w:val="22"/>
        </w:rPr>
        <w:t xml:space="preserve">colegiado </w:t>
      </w:r>
      <w:r>
        <w:rPr>
          <w:color w:val="auto"/>
          <w:sz w:val="22"/>
          <w:szCs w:val="22"/>
        </w:rPr>
        <w:t xml:space="preserve">iniciante; asimismo todos aquellos conceptos cuyas variaciones se justificaron en la exposición de motivos, no generaron argumento alguno por parte de estas Comisiones Unidas.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b/>
          <w:bCs/>
          <w:color w:val="auto"/>
          <w:sz w:val="22"/>
          <w:szCs w:val="22"/>
        </w:rPr>
      </w:pPr>
      <w:r>
        <w:rPr>
          <w:b/>
          <w:bCs/>
          <w:color w:val="auto"/>
          <w:sz w:val="22"/>
          <w:szCs w:val="22"/>
        </w:rPr>
        <w:t xml:space="preserve">De los ingresos. </w:t>
      </w:r>
    </w:p>
    <w:p w:rsidR="00423437" w:rsidRDefault="00423437" w:rsidP="00792B40">
      <w:pPr>
        <w:pStyle w:val="Default"/>
        <w:ind w:firstLine="709"/>
        <w:jc w:val="both"/>
        <w:rPr>
          <w:color w:val="auto"/>
          <w:sz w:val="22"/>
          <w:szCs w:val="22"/>
        </w:rPr>
      </w:pPr>
    </w:p>
    <w:p w:rsidR="000D5700" w:rsidRDefault="00423437" w:rsidP="00792B40">
      <w:pPr>
        <w:pStyle w:val="Default"/>
        <w:ind w:firstLine="709"/>
        <w:jc w:val="both"/>
        <w:rPr>
          <w:color w:val="auto"/>
          <w:sz w:val="22"/>
          <w:szCs w:val="22"/>
        </w:rPr>
      </w:pPr>
      <w:r>
        <w:rPr>
          <w:color w:val="auto"/>
          <w:sz w:val="22"/>
          <w:szCs w:val="22"/>
        </w:rPr>
        <w:t xml:space="preserve">En el ejercicio de la potestad legislativa resulta obligado precisar la naturaleza de las normas que creamos como derecho positivo, así como el objeto que persigue el instrumento legal, por tal razón, se consideró justificado este apartado. Pero se eliminó en el primer párrafo del artículo 1, el término «de interés social». </w:t>
      </w:r>
    </w:p>
    <w:p w:rsidR="000D5700" w:rsidRDefault="000D5700" w:rsidP="00792B40">
      <w:pPr>
        <w:pStyle w:val="Default"/>
        <w:ind w:firstLine="709"/>
        <w:jc w:val="both"/>
        <w:rPr>
          <w:color w:val="auto"/>
          <w:sz w:val="22"/>
          <w:szCs w:val="22"/>
        </w:rPr>
      </w:pPr>
    </w:p>
    <w:p w:rsidR="00423437" w:rsidRDefault="00423437" w:rsidP="00792B40">
      <w:pPr>
        <w:pStyle w:val="Default"/>
        <w:ind w:firstLine="709"/>
        <w:jc w:val="both"/>
        <w:rPr>
          <w:i/>
          <w:iCs/>
          <w:color w:val="auto"/>
          <w:sz w:val="22"/>
          <w:szCs w:val="22"/>
        </w:rPr>
      </w:pPr>
      <w:r>
        <w:rPr>
          <w:color w:val="auto"/>
          <w:sz w:val="22"/>
          <w:szCs w:val="22"/>
        </w:rPr>
        <w:t xml:space="preserve">En virtud de que la materia de los criterios la constituye la propia Ley de Ingresos Municipal, es indispensable precisar cuáles son las contribuciones que se pueden establecer, y en general cuáles son los ingresos que se pueden percibir por parte de los Municipios. En ese sentido la Ley de Hacienda para los Municipios del Estado de Guanajuato dispone que los </w:t>
      </w:r>
      <w:r>
        <w:rPr>
          <w:i/>
          <w:iCs/>
          <w:color w:val="auto"/>
          <w:sz w:val="22"/>
          <w:szCs w:val="22"/>
        </w:rPr>
        <w:t xml:space="preserve">«Municipios percibirán en cada ejercicio fiscal para cubrir los gastos públicos de la hacienda pública a su cargo, los ingresos que autoricen las leyes respectivas, así como los que les correspondan de conformidad con los convenios de coordinación y las leyes en que se fundamenten».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b/>
          <w:bCs/>
          <w:color w:val="auto"/>
          <w:sz w:val="22"/>
          <w:szCs w:val="22"/>
        </w:rPr>
      </w:pPr>
      <w:r>
        <w:rPr>
          <w:b/>
          <w:bCs/>
          <w:color w:val="auto"/>
          <w:sz w:val="22"/>
          <w:szCs w:val="22"/>
        </w:rPr>
        <w:t xml:space="preserve">De los Impuestos.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b/>
          <w:bCs/>
          <w:color w:val="auto"/>
          <w:sz w:val="22"/>
          <w:szCs w:val="22"/>
        </w:rPr>
      </w:pPr>
      <w:r>
        <w:rPr>
          <w:b/>
          <w:bCs/>
          <w:color w:val="auto"/>
          <w:sz w:val="22"/>
          <w:szCs w:val="22"/>
        </w:rPr>
        <w:t xml:space="preserve">Impuesto Predial.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Se precisa que la existencia de una tasa diferenciada respecto de los inmuebles urbanos y suburbanos con edificaciones, de aquellos sin edificaciones, tiene un fin </w:t>
      </w:r>
      <w:proofErr w:type="spellStart"/>
      <w:r>
        <w:rPr>
          <w:color w:val="auto"/>
          <w:sz w:val="22"/>
          <w:szCs w:val="22"/>
        </w:rPr>
        <w:t>extrafiscal</w:t>
      </w:r>
      <w:proofErr w:type="spellEnd"/>
      <w:r>
        <w:rPr>
          <w:color w:val="auto"/>
          <w:sz w:val="22"/>
          <w:szCs w:val="22"/>
        </w:rPr>
        <w:t xml:space="preserve">, consistente en desalentar la especulación inmobiliaria y con ello coadyuvar a la preservación del ambiente, la protección de la salud pública y al establecimiento de condiciones que ayuden a disminuir los índices de inseguridad en el Municipio, pues la proliferación de inmuebles baldíos genera en algunos casos condiciones propicias para el refugio de delincuentes, aunado a que en muchas ocasiones los propietarios de inmuebles sin construcción únicamente se benefician con la actividad que desarrolla la Administración Pública al acercar los servicios públicos a sus predios, aumentando con ello su plusvalía, sin que los propietarios inviertan cantidad alguna. </w:t>
      </w:r>
    </w:p>
    <w:p w:rsidR="00423437" w:rsidRDefault="00423437"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lastRenderedPageBreak/>
        <w:t xml:space="preserve">De modo que al existir un fin </w:t>
      </w:r>
      <w:proofErr w:type="spellStart"/>
      <w:r>
        <w:rPr>
          <w:color w:val="auto"/>
          <w:sz w:val="22"/>
          <w:szCs w:val="22"/>
        </w:rPr>
        <w:t>extrafiscal</w:t>
      </w:r>
      <w:proofErr w:type="spellEnd"/>
      <w:r>
        <w:rPr>
          <w:color w:val="auto"/>
          <w:sz w:val="22"/>
          <w:szCs w:val="22"/>
        </w:rPr>
        <w:t xml:space="preserve">, atentos a lo dispuesto en las tesis 1a. VI/2001 y 1a. V/2001, ambas de la Primera Sala de la Suprema Corte de Justicia de la Nación, publicadas en el Semanario Judicial de la Federación y su Gaceta, tomos XIII, de marzo de 2001, páginas 103 y 102, respectivamente, bajo los rubros: </w:t>
      </w:r>
      <w:r>
        <w:rPr>
          <w:b/>
          <w:bCs/>
          <w:color w:val="auto"/>
          <w:sz w:val="22"/>
          <w:szCs w:val="22"/>
        </w:rPr>
        <w:t xml:space="preserve">CONTRIBUCIONES, FINES EXTRAFISCALES. CORRESPONDE AL PODER LEGISLATIVO ESTABLECERLOS EXPRESAMENTE EN EL PROCESO DE CREACIÓN DE LAS MISMAS, Y CONTRIBUCIONES, FINES EXTRAFISCALES. CORRESPONDE AL LEGISLADOR ESTABLECER LOS MEDIOS DE DEFENSA PARA DESVIRTUARLOS, </w:t>
      </w:r>
      <w:r>
        <w:rPr>
          <w:color w:val="auto"/>
          <w:sz w:val="22"/>
          <w:szCs w:val="22"/>
        </w:rPr>
        <w:t xml:space="preserve">es válido que se establezca una diferenciación en tratándose de las tasas para inmuebles urbanos y suburbanos sin edificación, pues si bien el propósito fundamental de las contribuciones es el recaudatorio para sufragar el gasto público, se le puede agregar otro de similar naturaleza, como lo es el fin </w:t>
      </w:r>
      <w:proofErr w:type="spellStart"/>
      <w:r>
        <w:rPr>
          <w:color w:val="auto"/>
          <w:sz w:val="22"/>
          <w:szCs w:val="22"/>
        </w:rPr>
        <w:t>extrafiscal</w:t>
      </w:r>
      <w:proofErr w:type="spellEnd"/>
      <w:r>
        <w:rPr>
          <w:color w:val="auto"/>
          <w:sz w:val="22"/>
          <w:szCs w:val="22"/>
        </w:rPr>
        <w:t xml:space="preserve"> argumentado y justificado, además que se contempla el medio de defensa que permite al causante desvirtuar la hipótesis impositiva, en caso de considerar que no se ajusta a los extremos del dispositivo normativo.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b/>
          <w:bCs/>
          <w:color w:val="auto"/>
          <w:sz w:val="22"/>
          <w:szCs w:val="22"/>
        </w:rPr>
      </w:pPr>
      <w:r>
        <w:rPr>
          <w:b/>
          <w:bCs/>
          <w:color w:val="auto"/>
          <w:sz w:val="22"/>
          <w:szCs w:val="22"/>
        </w:rPr>
        <w:t xml:space="preserve">Del impuesto sobre División y Lotificación.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En este artículo el</w:t>
      </w:r>
      <w:r w:rsidR="000D5700">
        <w:rPr>
          <w:color w:val="auto"/>
          <w:sz w:val="22"/>
          <w:szCs w:val="22"/>
        </w:rPr>
        <w:t xml:space="preserve"> colegiado</w:t>
      </w:r>
      <w:r>
        <w:rPr>
          <w:color w:val="auto"/>
          <w:sz w:val="22"/>
          <w:szCs w:val="22"/>
        </w:rPr>
        <w:t xml:space="preserve"> iniciante </w:t>
      </w:r>
      <w:r w:rsidR="000D5700">
        <w:rPr>
          <w:color w:val="auto"/>
          <w:sz w:val="22"/>
          <w:szCs w:val="22"/>
        </w:rPr>
        <w:t>no trastoca las tazas, y</w:t>
      </w:r>
      <w:r>
        <w:rPr>
          <w:color w:val="auto"/>
          <w:sz w:val="22"/>
          <w:szCs w:val="22"/>
        </w:rPr>
        <w:t xml:space="preserve"> mantiene el esquema vigente.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b/>
          <w:bCs/>
          <w:color w:val="auto"/>
          <w:sz w:val="22"/>
          <w:szCs w:val="22"/>
        </w:rPr>
      </w:pPr>
      <w:r>
        <w:rPr>
          <w:b/>
          <w:bCs/>
          <w:color w:val="auto"/>
          <w:sz w:val="22"/>
          <w:szCs w:val="22"/>
        </w:rPr>
        <w:t xml:space="preserve">De los Derechos.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En este apartado el iniciante presenta incrementos al 3%, resultando en la mayoría de los casos procedente la pretensión del Ayuntamiento, al respetar el criterio general del índice inflacionario.</w:t>
      </w:r>
    </w:p>
    <w:p w:rsidR="00423437" w:rsidRDefault="00423437" w:rsidP="00792B40">
      <w:pPr>
        <w:pStyle w:val="Default"/>
        <w:ind w:firstLine="709"/>
        <w:jc w:val="both"/>
        <w:rPr>
          <w:color w:val="auto"/>
          <w:sz w:val="22"/>
          <w:szCs w:val="22"/>
        </w:rPr>
      </w:pPr>
      <w:r>
        <w:rPr>
          <w:color w:val="auto"/>
          <w:sz w:val="22"/>
          <w:szCs w:val="22"/>
        </w:rPr>
        <w:t xml:space="preserve"> </w:t>
      </w:r>
    </w:p>
    <w:p w:rsidR="00423437" w:rsidRDefault="00423437" w:rsidP="00792B40">
      <w:pPr>
        <w:pStyle w:val="Default"/>
        <w:ind w:firstLine="709"/>
        <w:jc w:val="both"/>
        <w:rPr>
          <w:color w:val="auto"/>
          <w:sz w:val="22"/>
          <w:szCs w:val="22"/>
        </w:rPr>
      </w:pPr>
      <w:r>
        <w:rPr>
          <w:color w:val="auto"/>
          <w:sz w:val="22"/>
          <w:szCs w:val="22"/>
        </w:rPr>
        <w:t xml:space="preserve">Derivado de lo anterior, en este apartado señalamos únicamente aquellas cuestiones que siendo propuestas por el iniciante, han sufrido alguna modificación en la iniciativa.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b/>
          <w:bCs/>
          <w:color w:val="auto"/>
          <w:sz w:val="22"/>
          <w:szCs w:val="22"/>
        </w:rPr>
      </w:pPr>
      <w:r>
        <w:rPr>
          <w:b/>
          <w:bCs/>
          <w:color w:val="auto"/>
          <w:sz w:val="22"/>
          <w:szCs w:val="22"/>
        </w:rPr>
        <w:t xml:space="preserve">Por servicios de Agua Potable, Drenaje, Alcantarillado, Tratamiento y Disposición de sus Aguas Residuales.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Considerando la disposición constitucional y legal de que el servicio que se presta por el municipio es de Agua Potable, Drenaje, Alcantarillado, Tratamiento y Disposición de sus Aguas Residuales, se incluyó la palabra «alcantarillado», en toda la sección que abarca este servicio. </w:t>
      </w:r>
    </w:p>
    <w:p w:rsidR="00423437" w:rsidRDefault="00423437"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733EBD" w:rsidRDefault="00423437" w:rsidP="00792B40">
      <w:pPr>
        <w:pStyle w:val="Default"/>
        <w:ind w:firstLine="709"/>
        <w:jc w:val="both"/>
        <w:rPr>
          <w:color w:val="auto"/>
          <w:sz w:val="22"/>
          <w:szCs w:val="22"/>
        </w:rPr>
      </w:pPr>
      <w:r>
        <w:rPr>
          <w:color w:val="auto"/>
          <w:sz w:val="22"/>
          <w:szCs w:val="22"/>
        </w:rPr>
        <w:lastRenderedPageBreak/>
        <w:t>Además conforme a lo dispuesto por los criterios generales, y basado en la denominación constitucional del servicio, se eliminó el término «final» y se denominó «Por servicios de Agua Potable, Drenaje, Alcantarillado, Tratamiento y Disposi</w:t>
      </w:r>
      <w:r w:rsidR="00733EBD">
        <w:rPr>
          <w:color w:val="auto"/>
          <w:sz w:val="22"/>
          <w:szCs w:val="22"/>
        </w:rPr>
        <w:t>ción de sus Aguas Residua</w:t>
      </w:r>
      <w:r w:rsidR="0063439E">
        <w:rPr>
          <w:color w:val="auto"/>
          <w:sz w:val="22"/>
          <w:szCs w:val="22"/>
        </w:rPr>
        <w:t>les».</w:t>
      </w:r>
    </w:p>
    <w:p w:rsidR="00733EBD" w:rsidRDefault="00733EBD" w:rsidP="00792B40">
      <w:pPr>
        <w:pStyle w:val="Default"/>
        <w:ind w:firstLine="709"/>
        <w:jc w:val="both"/>
        <w:rPr>
          <w:color w:val="auto"/>
          <w:sz w:val="22"/>
          <w:szCs w:val="22"/>
        </w:rPr>
      </w:pPr>
    </w:p>
    <w:p w:rsidR="00423437" w:rsidRDefault="000C1F2A" w:rsidP="00792B40">
      <w:pPr>
        <w:pStyle w:val="Default"/>
        <w:ind w:firstLine="709"/>
        <w:jc w:val="both"/>
        <w:rPr>
          <w:color w:val="auto"/>
          <w:sz w:val="22"/>
          <w:szCs w:val="22"/>
        </w:rPr>
      </w:pPr>
      <w:r w:rsidRPr="000C1F2A">
        <w:rPr>
          <w:color w:val="auto"/>
          <w:sz w:val="22"/>
          <w:szCs w:val="22"/>
        </w:rPr>
        <w:t>Respecto a la fracción I</w:t>
      </w:r>
      <w:r w:rsidR="00423437" w:rsidRPr="000C1F2A">
        <w:rPr>
          <w:color w:val="auto"/>
          <w:sz w:val="22"/>
          <w:szCs w:val="22"/>
        </w:rPr>
        <w:t xml:space="preserve">, </w:t>
      </w:r>
      <w:r>
        <w:rPr>
          <w:color w:val="auto"/>
          <w:sz w:val="22"/>
          <w:szCs w:val="22"/>
        </w:rPr>
        <w:t>del artículo 14 de la iniciativa en estudio, el ente especializado en la materia, esto es, la Comisió</w:t>
      </w:r>
      <w:r w:rsidR="00654130">
        <w:rPr>
          <w:color w:val="auto"/>
          <w:sz w:val="22"/>
          <w:szCs w:val="22"/>
        </w:rPr>
        <w:t>n Estatal del Agua de Guanajuato</w:t>
      </w:r>
      <w:r>
        <w:rPr>
          <w:color w:val="auto"/>
          <w:sz w:val="22"/>
          <w:szCs w:val="22"/>
        </w:rPr>
        <w:t xml:space="preserve">, identifico un error en el apartado de tarifa bimestral por servicio medido, concretamente </w:t>
      </w:r>
      <w:r w:rsidR="004F61C1">
        <w:rPr>
          <w:color w:val="auto"/>
          <w:sz w:val="22"/>
          <w:szCs w:val="22"/>
        </w:rPr>
        <w:t>en el uso mixto, respecto a los metros cúbicos de 98,99 y 100</w:t>
      </w:r>
      <w:r>
        <w:rPr>
          <w:color w:val="auto"/>
          <w:sz w:val="22"/>
          <w:szCs w:val="22"/>
        </w:rPr>
        <w:t xml:space="preserve"> </w:t>
      </w:r>
      <w:r w:rsidR="004F61C1">
        <w:rPr>
          <w:color w:val="auto"/>
          <w:sz w:val="22"/>
          <w:szCs w:val="22"/>
        </w:rPr>
        <w:t>por lo cual se modificaron las cantidades en cada uno de ellos por el bimestre correspondiente.</w:t>
      </w:r>
    </w:p>
    <w:p w:rsidR="000C1F2A" w:rsidRDefault="000C1F2A" w:rsidP="00792B40">
      <w:pPr>
        <w:pStyle w:val="Default"/>
        <w:ind w:firstLine="709"/>
        <w:jc w:val="both"/>
        <w:rPr>
          <w:color w:val="auto"/>
          <w:sz w:val="22"/>
          <w:szCs w:val="22"/>
        </w:rPr>
      </w:pPr>
    </w:p>
    <w:p w:rsidR="00423437" w:rsidRDefault="000D5700" w:rsidP="00792B40">
      <w:pPr>
        <w:pStyle w:val="Default"/>
        <w:ind w:firstLine="709"/>
        <w:jc w:val="both"/>
        <w:rPr>
          <w:b/>
          <w:color w:val="auto"/>
          <w:sz w:val="22"/>
          <w:szCs w:val="22"/>
        </w:rPr>
      </w:pPr>
      <w:r w:rsidRPr="000D5700">
        <w:rPr>
          <w:b/>
          <w:color w:val="auto"/>
          <w:sz w:val="22"/>
          <w:szCs w:val="22"/>
        </w:rPr>
        <w:t xml:space="preserve">Por los </w:t>
      </w:r>
      <w:r w:rsidR="00A5701E" w:rsidRPr="000D5700">
        <w:rPr>
          <w:b/>
          <w:color w:val="auto"/>
          <w:sz w:val="22"/>
          <w:szCs w:val="22"/>
        </w:rPr>
        <w:t>servicios</w:t>
      </w:r>
      <w:r w:rsidRPr="000D5700">
        <w:rPr>
          <w:b/>
          <w:color w:val="auto"/>
          <w:sz w:val="22"/>
          <w:szCs w:val="22"/>
        </w:rPr>
        <w:t xml:space="preserve"> de limpia, recolección, traslado, tratamiento y disposición final de </w:t>
      </w:r>
      <w:r w:rsidR="00A5701E" w:rsidRPr="000D5700">
        <w:rPr>
          <w:b/>
          <w:color w:val="auto"/>
          <w:sz w:val="22"/>
          <w:szCs w:val="22"/>
        </w:rPr>
        <w:t>residuos</w:t>
      </w:r>
      <w:r w:rsidRPr="000D5700">
        <w:rPr>
          <w:b/>
          <w:color w:val="auto"/>
          <w:sz w:val="22"/>
          <w:szCs w:val="22"/>
        </w:rPr>
        <w:t xml:space="preserve"> </w:t>
      </w:r>
    </w:p>
    <w:p w:rsidR="000D5700" w:rsidRDefault="000D5700" w:rsidP="00792B40">
      <w:pPr>
        <w:pStyle w:val="Default"/>
        <w:ind w:firstLine="709"/>
        <w:jc w:val="both"/>
        <w:rPr>
          <w:b/>
          <w:color w:val="auto"/>
          <w:sz w:val="22"/>
          <w:szCs w:val="22"/>
        </w:rPr>
      </w:pPr>
    </w:p>
    <w:p w:rsidR="000D5700" w:rsidRDefault="00A5701E" w:rsidP="00792B40">
      <w:pPr>
        <w:pStyle w:val="Default"/>
        <w:ind w:firstLine="709"/>
        <w:jc w:val="both"/>
        <w:rPr>
          <w:color w:val="auto"/>
          <w:sz w:val="22"/>
          <w:szCs w:val="22"/>
        </w:rPr>
      </w:pPr>
      <w:r w:rsidRPr="00A5701E">
        <w:rPr>
          <w:color w:val="auto"/>
          <w:sz w:val="22"/>
          <w:szCs w:val="22"/>
        </w:rPr>
        <w:t xml:space="preserve">En este apartado, precisamente en el segundo párrafo del artículo 15  de la iniciativa objeto de estudio, se ajustó en cuanto a los criterios generales y se incluyó que respecto a la solicitud esta se realice ya sea por personas físicas o morales.  </w:t>
      </w:r>
    </w:p>
    <w:p w:rsidR="00654130" w:rsidRPr="00A5701E" w:rsidRDefault="00654130" w:rsidP="00792B40">
      <w:pPr>
        <w:pStyle w:val="Default"/>
        <w:ind w:firstLine="709"/>
        <w:jc w:val="both"/>
        <w:rPr>
          <w:color w:val="auto"/>
          <w:sz w:val="22"/>
          <w:szCs w:val="22"/>
        </w:rPr>
      </w:pPr>
    </w:p>
    <w:p w:rsidR="000D5700" w:rsidRDefault="00A01018" w:rsidP="00792B40">
      <w:pPr>
        <w:pStyle w:val="Default"/>
        <w:ind w:firstLine="709"/>
        <w:jc w:val="both"/>
        <w:rPr>
          <w:b/>
          <w:color w:val="auto"/>
          <w:sz w:val="22"/>
          <w:szCs w:val="22"/>
        </w:rPr>
      </w:pPr>
      <w:r>
        <w:rPr>
          <w:b/>
          <w:color w:val="auto"/>
          <w:sz w:val="22"/>
          <w:szCs w:val="22"/>
        </w:rPr>
        <w:t xml:space="preserve">Por los servicios en el centro </w:t>
      </w:r>
      <w:proofErr w:type="spellStart"/>
      <w:r>
        <w:rPr>
          <w:b/>
          <w:color w:val="auto"/>
          <w:sz w:val="22"/>
          <w:szCs w:val="22"/>
        </w:rPr>
        <w:t>cassa</w:t>
      </w:r>
      <w:proofErr w:type="spellEnd"/>
      <w:r>
        <w:rPr>
          <w:b/>
          <w:color w:val="auto"/>
          <w:sz w:val="22"/>
          <w:szCs w:val="22"/>
        </w:rPr>
        <w:t>, bibliotecas públicas y casa de la cultura</w:t>
      </w:r>
    </w:p>
    <w:p w:rsidR="00A01018" w:rsidRDefault="00A01018" w:rsidP="00792B40">
      <w:pPr>
        <w:pStyle w:val="Default"/>
        <w:ind w:firstLine="709"/>
        <w:jc w:val="both"/>
        <w:rPr>
          <w:b/>
          <w:color w:val="auto"/>
          <w:sz w:val="22"/>
          <w:szCs w:val="22"/>
        </w:rPr>
      </w:pPr>
    </w:p>
    <w:p w:rsidR="00A01018" w:rsidRPr="00A01018" w:rsidRDefault="00A01018" w:rsidP="00792B40">
      <w:pPr>
        <w:pStyle w:val="Default"/>
        <w:ind w:firstLine="709"/>
        <w:jc w:val="both"/>
        <w:rPr>
          <w:color w:val="auto"/>
          <w:sz w:val="22"/>
          <w:szCs w:val="22"/>
        </w:rPr>
      </w:pPr>
      <w:r w:rsidRPr="00A01018">
        <w:rPr>
          <w:color w:val="auto"/>
          <w:sz w:val="22"/>
          <w:szCs w:val="22"/>
        </w:rPr>
        <w:t>El órgano colegiado iniciante</w:t>
      </w:r>
      <w:r>
        <w:rPr>
          <w:color w:val="auto"/>
          <w:sz w:val="22"/>
          <w:szCs w:val="22"/>
        </w:rPr>
        <w:t xml:space="preserve">, tanto en el encabezado de la sección como en la porción normativa visible en el artículo 21, utiliza </w:t>
      </w:r>
      <w:r w:rsidR="004C07D4">
        <w:rPr>
          <w:color w:val="auto"/>
          <w:sz w:val="22"/>
          <w:szCs w:val="22"/>
        </w:rPr>
        <w:t>siglas (</w:t>
      </w:r>
      <w:r>
        <w:rPr>
          <w:color w:val="auto"/>
          <w:sz w:val="22"/>
          <w:szCs w:val="22"/>
        </w:rPr>
        <w:t xml:space="preserve">CASSA) </w:t>
      </w:r>
      <w:r w:rsidR="004C07D4">
        <w:rPr>
          <w:color w:val="auto"/>
          <w:sz w:val="22"/>
          <w:szCs w:val="22"/>
        </w:rPr>
        <w:t xml:space="preserve">lo cual no otorga certeza jurídica respecto al nombre de la entidad que habrá de prestar el servicio, razón por la cual, además de conformidad con los criterios generales aprobado por estas comisiones unidas, se precisa el nombre completo y correcto de la referida entidad, siendo </w:t>
      </w:r>
      <w:r w:rsidR="0043235F">
        <w:rPr>
          <w:color w:val="auto"/>
          <w:sz w:val="22"/>
          <w:szCs w:val="22"/>
        </w:rPr>
        <w:t>“</w:t>
      </w:r>
      <w:r w:rsidR="004C07D4">
        <w:rPr>
          <w:color w:val="auto"/>
          <w:sz w:val="22"/>
          <w:szCs w:val="22"/>
        </w:rPr>
        <w:t>Centro de Acceso a Servicios Sociales y de Aprendizaje</w:t>
      </w:r>
      <w:r w:rsidR="0043235F">
        <w:rPr>
          <w:color w:val="auto"/>
          <w:sz w:val="22"/>
          <w:szCs w:val="22"/>
        </w:rPr>
        <w:t>”</w:t>
      </w:r>
      <w:r w:rsidR="004C07D4">
        <w:rPr>
          <w:color w:val="auto"/>
          <w:sz w:val="22"/>
          <w:szCs w:val="22"/>
        </w:rPr>
        <w:t xml:space="preserve">. </w:t>
      </w:r>
      <w:r w:rsidR="004C07D4" w:rsidRPr="00A01018">
        <w:rPr>
          <w:color w:val="auto"/>
          <w:sz w:val="22"/>
          <w:szCs w:val="22"/>
        </w:rPr>
        <w:t xml:space="preserve"> </w:t>
      </w:r>
    </w:p>
    <w:p w:rsidR="00A5701E" w:rsidRDefault="00A5701E" w:rsidP="00792B40">
      <w:pPr>
        <w:pStyle w:val="Default"/>
        <w:ind w:firstLine="709"/>
        <w:jc w:val="both"/>
        <w:rPr>
          <w:b/>
          <w:color w:val="auto"/>
          <w:sz w:val="22"/>
          <w:szCs w:val="22"/>
        </w:rPr>
      </w:pPr>
    </w:p>
    <w:p w:rsidR="00423437" w:rsidRDefault="00423437" w:rsidP="00792B40">
      <w:pPr>
        <w:pStyle w:val="Default"/>
        <w:ind w:firstLine="709"/>
        <w:jc w:val="both"/>
        <w:rPr>
          <w:b/>
          <w:bCs/>
          <w:color w:val="auto"/>
          <w:sz w:val="22"/>
          <w:szCs w:val="22"/>
        </w:rPr>
      </w:pPr>
      <w:r>
        <w:rPr>
          <w:b/>
          <w:bCs/>
          <w:color w:val="auto"/>
          <w:sz w:val="22"/>
          <w:szCs w:val="22"/>
        </w:rPr>
        <w:t xml:space="preserve">Por los servicios de obra pública y desarrollo urbano.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sidRPr="00D17449">
        <w:rPr>
          <w:color w:val="auto"/>
          <w:sz w:val="22"/>
          <w:szCs w:val="22"/>
        </w:rPr>
        <w:t>En este apartado se mantiene el esquema vigente ante la ausencia de argumentos y elementos técnicos que justifiquen el cambio en la propuesta realizada por el iniciante.</w:t>
      </w:r>
      <w:r>
        <w:rPr>
          <w:color w:val="auto"/>
          <w:sz w:val="22"/>
          <w:szCs w:val="22"/>
        </w:rPr>
        <w:t xml:space="preserve"> </w:t>
      </w:r>
    </w:p>
    <w:p w:rsidR="00423437" w:rsidRDefault="00423437"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423437" w:rsidRDefault="00423437" w:rsidP="00792B40">
      <w:pPr>
        <w:pStyle w:val="Default"/>
        <w:ind w:firstLine="709"/>
        <w:jc w:val="both"/>
        <w:rPr>
          <w:b/>
          <w:bCs/>
          <w:color w:val="auto"/>
          <w:sz w:val="22"/>
          <w:szCs w:val="22"/>
        </w:rPr>
      </w:pPr>
      <w:r>
        <w:rPr>
          <w:b/>
          <w:bCs/>
          <w:color w:val="auto"/>
          <w:sz w:val="22"/>
          <w:szCs w:val="22"/>
        </w:rPr>
        <w:lastRenderedPageBreak/>
        <w:t xml:space="preserve">Por los servicios catastrales y práctica de avalúos.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sidRPr="00D17449">
        <w:rPr>
          <w:color w:val="auto"/>
          <w:sz w:val="22"/>
          <w:szCs w:val="22"/>
        </w:rPr>
        <w:t>En este artículo el iniciante realizo variación a la taza de la fracción I, sin presentar el estudio técnico que avalara dicha propuesta en su exposición de motivos o en sus anexos, por lo que conforme a los criterios generales, estas Comisiones Unidas decidimos, que ante la falta de sustento técnico y legal para variar las tazas, se mantiene el esquema vigente.</w:t>
      </w:r>
      <w:r>
        <w:rPr>
          <w:color w:val="auto"/>
          <w:sz w:val="22"/>
          <w:szCs w:val="22"/>
        </w:rPr>
        <w:t xml:space="preserve">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b/>
          <w:bCs/>
          <w:color w:val="auto"/>
          <w:sz w:val="22"/>
          <w:szCs w:val="22"/>
        </w:rPr>
      </w:pPr>
      <w:r>
        <w:rPr>
          <w:b/>
          <w:bCs/>
          <w:color w:val="auto"/>
          <w:sz w:val="22"/>
          <w:szCs w:val="22"/>
        </w:rPr>
        <w:t xml:space="preserve">Por servicios de fraccionamientos y desarrollos en condominio. </w:t>
      </w:r>
    </w:p>
    <w:p w:rsidR="00423437" w:rsidRDefault="00423437" w:rsidP="00792B40">
      <w:pPr>
        <w:pStyle w:val="Default"/>
        <w:ind w:firstLine="709"/>
        <w:jc w:val="both"/>
        <w:rPr>
          <w:color w:val="auto"/>
          <w:sz w:val="22"/>
          <w:szCs w:val="22"/>
        </w:rPr>
      </w:pPr>
    </w:p>
    <w:p w:rsidR="00423437" w:rsidRDefault="00B5040D" w:rsidP="00792B40">
      <w:pPr>
        <w:pStyle w:val="Default"/>
        <w:ind w:firstLine="709"/>
        <w:jc w:val="both"/>
        <w:rPr>
          <w:color w:val="auto"/>
          <w:sz w:val="22"/>
          <w:szCs w:val="22"/>
        </w:rPr>
      </w:pPr>
      <w:r>
        <w:rPr>
          <w:color w:val="auto"/>
          <w:sz w:val="22"/>
          <w:szCs w:val="22"/>
        </w:rPr>
        <w:t>En este apartado el iniciante</w:t>
      </w:r>
      <w:r w:rsidR="00423437">
        <w:rPr>
          <w:color w:val="auto"/>
          <w:sz w:val="22"/>
          <w:szCs w:val="22"/>
        </w:rPr>
        <w:t xml:space="preserve"> mantiene el esquema vigente </w:t>
      </w:r>
      <w:r>
        <w:rPr>
          <w:color w:val="auto"/>
          <w:sz w:val="22"/>
          <w:szCs w:val="22"/>
        </w:rPr>
        <w:t>sin variación alguna.</w:t>
      </w:r>
    </w:p>
    <w:p w:rsidR="00792B40" w:rsidRDefault="00792B40" w:rsidP="00792B40">
      <w:pPr>
        <w:pStyle w:val="Default"/>
        <w:ind w:firstLine="709"/>
        <w:jc w:val="both"/>
        <w:rPr>
          <w:color w:val="auto"/>
          <w:sz w:val="22"/>
          <w:szCs w:val="22"/>
        </w:rPr>
      </w:pPr>
    </w:p>
    <w:p w:rsidR="00792B40" w:rsidRDefault="00792B40" w:rsidP="00792B40">
      <w:pPr>
        <w:pStyle w:val="Default"/>
        <w:ind w:firstLine="709"/>
        <w:jc w:val="both"/>
        <w:rPr>
          <w:rFonts w:cstheme="minorBidi"/>
          <w:color w:val="auto"/>
        </w:rPr>
      </w:pPr>
    </w:p>
    <w:p w:rsidR="00423437" w:rsidRPr="00792B40" w:rsidRDefault="00423437" w:rsidP="00792B40">
      <w:pPr>
        <w:pStyle w:val="Default"/>
        <w:ind w:firstLine="709"/>
        <w:jc w:val="both"/>
        <w:rPr>
          <w:b/>
          <w:bCs/>
          <w:color w:val="auto"/>
          <w:sz w:val="22"/>
          <w:szCs w:val="22"/>
        </w:rPr>
      </w:pPr>
      <w:r w:rsidRPr="00792B40">
        <w:rPr>
          <w:b/>
          <w:bCs/>
          <w:color w:val="auto"/>
          <w:sz w:val="22"/>
          <w:szCs w:val="22"/>
        </w:rPr>
        <w:t xml:space="preserve">Por Expedición de Licencias o Permisos para el Establecimiento de Anuncios.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Aplicando los criterios generales aprobados por las Comisiones Unidas, la denominación de esta sección debe adecuarse a lo establecido por la Ley de Hacienda para los Municipios del Estado de Guanajuato; que señala que se trata de la expedición de licencias o permisos para el establecimiento de anuncios, además en el caso de la fracción II, donde se omite el inciso b) ante la falta de argumentos, se mantiene el esquema vigente, con el aumento del 4% autorizado a la tarifa correspondiente.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b/>
          <w:bCs/>
          <w:color w:val="auto"/>
          <w:sz w:val="22"/>
          <w:szCs w:val="22"/>
        </w:rPr>
      </w:pPr>
      <w:r>
        <w:rPr>
          <w:b/>
          <w:bCs/>
          <w:color w:val="auto"/>
          <w:sz w:val="22"/>
          <w:szCs w:val="22"/>
        </w:rPr>
        <w:t xml:space="preserve">Por servicios en materia ambiental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Conforme a los criterios generales se ajustó la «evaluación del impacto ambiental», por la «autorización de la evaluación», por ser el término a que hace referencia la Ley para la Protección y Preservación del Ambiente del Estado de Guanajuato y sus Municipios.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b/>
          <w:bCs/>
          <w:color w:val="auto"/>
          <w:sz w:val="22"/>
          <w:szCs w:val="22"/>
        </w:rPr>
      </w:pPr>
      <w:r>
        <w:rPr>
          <w:b/>
          <w:bCs/>
          <w:color w:val="auto"/>
          <w:sz w:val="22"/>
          <w:szCs w:val="22"/>
        </w:rPr>
        <w:t>Por la expedición de certificados, certificaciones y constancias</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El iniciante agrega un inciso V denominado «Certificado de Historial Catastral», que aunque es propio del servicio, carece de estudio técnico tarifario, que nos permita valorar su inclusión, por lo que se mantiene el esquema vigente. </w:t>
      </w:r>
    </w:p>
    <w:p w:rsidR="00423437" w:rsidRDefault="00423437"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423437" w:rsidRDefault="00423437" w:rsidP="00792B40">
      <w:pPr>
        <w:pStyle w:val="Default"/>
        <w:ind w:firstLine="709"/>
        <w:jc w:val="both"/>
        <w:rPr>
          <w:b/>
          <w:bCs/>
          <w:color w:val="auto"/>
          <w:sz w:val="22"/>
          <w:szCs w:val="22"/>
        </w:rPr>
      </w:pPr>
      <w:r>
        <w:rPr>
          <w:b/>
          <w:bCs/>
          <w:color w:val="auto"/>
          <w:sz w:val="22"/>
          <w:szCs w:val="22"/>
        </w:rPr>
        <w:lastRenderedPageBreak/>
        <w:t xml:space="preserve">Por servicios de alumbrado público. </w:t>
      </w:r>
    </w:p>
    <w:p w:rsidR="00423437" w:rsidRDefault="00423437" w:rsidP="00792B40">
      <w:pPr>
        <w:pStyle w:val="Default"/>
        <w:ind w:firstLine="709"/>
        <w:jc w:val="both"/>
        <w:rPr>
          <w:color w:val="auto"/>
          <w:sz w:val="22"/>
          <w:szCs w:val="22"/>
        </w:rPr>
      </w:pPr>
    </w:p>
    <w:p w:rsidR="00266B08" w:rsidRPr="00B01DE9" w:rsidRDefault="00423437" w:rsidP="00792B40">
      <w:pPr>
        <w:spacing w:line="360" w:lineRule="auto"/>
        <w:ind w:firstLine="709"/>
        <w:jc w:val="both"/>
        <w:rPr>
          <w:rFonts w:ascii="Verdana" w:hAnsi="Verdana" w:cs="Arial"/>
          <w:bCs/>
          <w:sz w:val="18"/>
          <w:szCs w:val="18"/>
        </w:rPr>
      </w:pPr>
      <w:r w:rsidRPr="00EA4340">
        <w:rPr>
          <w:sz w:val="22"/>
          <w:szCs w:val="22"/>
        </w:rPr>
        <w:t>Por servicios de alumbrado público</w:t>
      </w:r>
      <w:r w:rsidR="00266B08" w:rsidRPr="00266B08">
        <w:rPr>
          <w:rFonts w:ascii="Verdana" w:hAnsi="Verdana" w:cs="Arial"/>
          <w:bCs/>
          <w:sz w:val="18"/>
          <w:szCs w:val="18"/>
        </w:rPr>
        <w:t xml:space="preserve"> </w:t>
      </w:r>
      <w:r w:rsidR="00266B08" w:rsidRPr="00B01DE9">
        <w:rPr>
          <w:rFonts w:ascii="Verdana" w:hAnsi="Verdana" w:cs="Arial"/>
          <w:bCs/>
          <w:sz w:val="18"/>
          <w:szCs w:val="18"/>
        </w:rPr>
        <w:t>En el artículo 33 de la Iniciativa en estudio, el órgano colegiado iniciante proponía una cuota mensual de $78.27 y una cuota bimestral $156.54 por concepto de derechos por la prestación del servicio de alumbrado público. No obstante lo anterior y derivado del análisis efectuado por la Unidad de Estudios de las Finanzas Públicas de este Congreso del Estado, a la información sobre la cantidad de usuarios por cada municipio del Estado de Guanajuato que la Comisión Federal de Electricidad tiene registrados hasta el mes de octubre de 2015 y que fue remitida por dicho organismo a estas Comisiones Unidas de manera posterior a que se presentó la iniciativa que se dictamina, se detectaron diferencias con información remitida por los municipios. En consecuencia y a efectuar los cálculos considerando la cantidad de usuarios proporcionada por la Comisión Federal de Electricidad, se determinó modificar las cuotas, para quedar en los términos del decreto que forma parte del presente dictamen.</w:t>
      </w:r>
    </w:p>
    <w:p w:rsidR="00266B08" w:rsidRDefault="00266B08" w:rsidP="00792B40">
      <w:pPr>
        <w:pStyle w:val="Default"/>
        <w:ind w:firstLine="709"/>
        <w:jc w:val="both"/>
        <w:rPr>
          <w:color w:val="auto"/>
          <w:sz w:val="22"/>
          <w:szCs w:val="22"/>
        </w:rPr>
      </w:pPr>
    </w:p>
    <w:p w:rsidR="00423437" w:rsidRDefault="00423437" w:rsidP="00792B40">
      <w:pPr>
        <w:pStyle w:val="Default"/>
        <w:ind w:firstLine="709"/>
        <w:jc w:val="both"/>
        <w:rPr>
          <w:rFonts w:ascii="Times New Roman" w:hAnsi="Times New Roman" w:cs="Times New Roman"/>
          <w:color w:val="auto"/>
          <w:sz w:val="28"/>
          <w:szCs w:val="28"/>
        </w:rPr>
      </w:pPr>
      <w:r>
        <w:rPr>
          <w:b/>
          <w:bCs/>
          <w:color w:val="auto"/>
          <w:sz w:val="22"/>
          <w:szCs w:val="22"/>
        </w:rPr>
        <w:t xml:space="preserve">De las Contribuciones Especiales. </w:t>
      </w:r>
    </w:p>
    <w:p w:rsidR="00423437" w:rsidRDefault="00423437" w:rsidP="00792B40">
      <w:pPr>
        <w:pStyle w:val="Default"/>
        <w:ind w:firstLine="709"/>
        <w:jc w:val="both"/>
        <w:rPr>
          <w:rFonts w:cstheme="minorBidi"/>
          <w:color w:val="auto"/>
        </w:rPr>
      </w:pPr>
    </w:p>
    <w:p w:rsidR="00423437" w:rsidRDefault="00423437" w:rsidP="00792B40">
      <w:pPr>
        <w:pStyle w:val="Default"/>
        <w:ind w:firstLine="709"/>
        <w:jc w:val="both"/>
        <w:rPr>
          <w:color w:val="auto"/>
          <w:sz w:val="22"/>
          <w:szCs w:val="22"/>
        </w:rPr>
      </w:pPr>
      <w:r>
        <w:rPr>
          <w:color w:val="auto"/>
          <w:sz w:val="22"/>
          <w:szCs w:val="22"/>
        </w:rPr>
        <w:t xml:space="preserve">Sin variaciones con relación al actual Ejercicio Fiscal. </w:t>
      </w:r>
    </w:p>
    <w:p w:rsidR="00423437" w:rsidRDefault="00423437" w:rsidP="00792B40">
      <w:pPr>
        <w:pStyle w:val="Default"/>
        <w:ind w:firstLine="709"/>
        <w:jc w:val="both"/>
        <w:rPr>
          <w:b/>
          <w:bCs/>
          <w:color w:val="auto"/>
          <w:sz w:val="22"/>
          <w:szCs w:val="22"/>
        </w:rPr>
      </w:pPr>
    </w:p>
    <w:p w:rsidR="00423437" w:rsidRDefault="00423437" w:rsidP="00792B40">
      <w:pPr>
        <w:pStyle w:val="Default"/>
        <w:ind w:firstLine="709"/>
        <w:jc w:val="both"/>
        <w:rPr>
          <w:b/>
          <w:bCs/>
          <w:color w:val="auto"/>
          <w:sz w:val="22"/>
          <w:szCs w:val="22"/>
        </w:rPr>
      </w:pPr>
      <w:r>
        <w:rPr>
          <w:b/>
          <w:bCs/>
          <w:color w:val="auto"/>
          <w:sz w:val="22"/>
          <w:szCs w:val="22"/>
        </w:rPr>
        <w:t xml:space="preserve">De los Productos.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Los productos no conllevan la naturaleza de contribución.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b/>
          <w:bCs/>
          <w:color w:val="auto"/>
          <w:sz w:val="22"/>
          <w:szCs w:val="22"/>
        </w:rPr>
      </w:pPr>
      <w:r>
        <w:rPr>
          <w:b/>
          <w:bCs/>
          <w:color w:val="auto"/>
          <w:sz w:val="22"/>
          <w:szCs w:val="22"/>
        </w:rPr>
        <w:t xml:space="preserve">De los Aprovechamientos.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Los aprovechamientos no tienen que satisfacer el principio de reserva de Ley, sin embargo, por disposición del artículo 261 de la Ley de Hacienda para los Municipios, y por seguridad y certeza jurídica para los contribuyentes, se establecen únicamente las tasas para los recargos y gastos de ejecución.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b/>
          <w:bCs/>
          <w:color w:val="auto"/>
          <w:sz w:val="22"/>
          <w:szCs w:val="22"/>
        </w:rPr>
      </w:pPr>
      <w:r>
        <w:rPr>
          <w:b/>
          <w:bCs/>
          <w:color w:val="auto"/>
          <w:sz w:val="22"/>
          <w:szCs w:val="22"/>
        </w:rPr>
        <w:t xml:space="preserve">De las Participaciones Federales.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La previsión remite a lo dispuesto en Ley de Coordinación Fiscal del Estado de Guanajuato. </w:t>
      </w:r>
    </w:p>
    <w:p w:rsidR="00423437" w:rsidRDefault="00423437"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792B40" w:rsidRDefault="00792B40" w:rsidP="00792B40">
      <w:pPr>
        <w:pStyle w:val="Default"/>
        <w:ind w:firstLine="709"/>
        <w:jc w:val="both"/>
        <w:rPr>
          <w:color w:val="auto"/>
          <w:sz w:val="22"/>
          <w:szCs w:val="22"/>
        </w:rPr>
      </w:pPr>
    </w:p>
    <w:p w:rsidR="00423437" w:rsidRDefault="00423437" w:rsidP="00792B40">
      <w:pPr>
        <w:pStyle w:val="Default"/>
        <w:ind w:firstLine="709"/>
        <w:jc w:val="both"/>
        <w:rPr>
          <w:b/>
          <w:bCs/>
          <w:color w:val="auto"/>
          <w:sz w:val="22"/>
          <w:szCs w:val="22"/>
        </w:rPr>
      </w:pPr>
      <w:r>
        <w:rPr>
          <w:b/>
          <w:bCs/>
          <w:color w:val="auto"/>
          <w:sz w:val="22"/>
          <w:szCs w:val="22"/>
        </w:rPr>
        <w:lastRenderedPageBreak/>
        <w:t xml:space="preserve">De los Ingresos Extraordinarios.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Se contempla la figura del endeudamiento, conforme lo dispuesto por el artículo 117 de la Constitución Política Federal, en relación con el artículo 63 fracción XIV de la Constitución Política del Estado, reglamentándose ambos dispositivos en la Ley de Deuda Pública del Estado y los Municipios de Guanajuato.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b/>
          <w:bCs/>
          <w:color w:val="auto"/>
          <w:sz w:val="22"/>
          <w:szCs w:val="22"/>
        </w:rPr>
      </w:pPr>
      <w:r>
        <w:rPr>
          <w:b/>
          <w:bCs/>
          <w:color w:val="auto"/>
          <w:sz w:val="22"/>
          <w:szCs w:val="22"/>
        </w:rPr>
        <w:t xml:space="preserve">Facilidades Administrativas.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b/>
          <w:bCs/>
          <w:color w:val="auto"/>
          <w:sz w:val="22"/>
          <w:szCs w:val="22"/>
        </w:rPr>
      </w:pPr>
      <w:r>
        <w:rPr>
          <w:b/>
          <w:bCs/>
          <w:color w:val="auto"/>
          <w:sz w:val="22"/>
          <w:szCs w:val="22"/>
        </w:rPr>
        <w:t xml:space="preserve">Del servicio de agua potable, drenaje, alcantarillado, tratamiento y disposición de sus aguas residuales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Conforme a los criterios generales se agrega el término </w:t>
      </w:r>
      <w:r>
        <w:rPr>
          <w:rFonts w:ascii="Arial" w:hAnsi="Arial" w:cs="Arial"/>
          <w:color w:val="auto"/>
          <w:sz w:val="22"/>
          <w:szCs w:val="22"/>
        </w:rPr>
        <w:t>«</w:t>
      </w:r>
      <w:r>
        <w:rPr>
          <w:color w:val="auto"/>
          <w:sz w:val="22"/>
          <w:szCs w:val="22"/>
        </w:rPr>
        <w:t>alcantarillado</w:t>
      </w:r>
      <w:r>
        <w:rPr>
          <w:rFonts w:ascii="Arial" w:hAnsi="Arial" w:cs="Arial"/>
          <w:color w:val="auto"/>
          <w:sz w:val="22"/>
          <w:szCs w:val="22"/>
        </w:rPr>
        <w:t>»</w:t>
      </w:r>
      <w:r>
        <w:rPr>
          <w:color w:val="auto"/>
          <w:sz w:val="22"/>
          <w:szCs w:val="22"/>
        </w:rPr>
        <w:t xml:space="preserve">, y se elimina la palabra </w:t>
      </w:r>
      <w:r>
        <w:rPr>
          <w:rFonts w:ascii="Arial" w:hAnsi="Arial" w:cs="Arial"/>
          <w:color w:val="auto"/>
          <w:sz w:val="22"/>
          <w:szCs w:val="22"/>
        </w:rPr>
        <w:t>«</w:t>
      </w:r>
      <w:r>
        <w:rPr>
          <w:color w:val="auto"/>
          <w:sz w:val="22"/>
          <w:szCs w:val="22"/>
        </w:rPr>
        <w:t>final</w:t>
      </w:r>
      <w:r>
        <w:rPr>
          <w:rFonts w:ascii="Arial" w:hAnsi="Arial" w:cs="Arial"/>
          <w:color w:val="auto"/>
          <w:sz w:val="22"/>
          <w:szCs w:val="22"/>
        </w:rPr>
        <w:t>»</w:t>
      </w:r>
      <w:r>
        <w:rPr>
          <w:color w:val="auto"/>
          <w:sz w:val="22"/>
          <w:szCs w:val="22"/>
        </w:rPr>
        <w:t xml:space="preserve">, </w:t>
      </w:r>
      <w:r w:rsidR="00A97F09">
        <w:rPr>
          <w:color w:val="auto"/>
          <w:sz w:val="22"/>
          <w:szCs w:val="22"/>
        </w:rPr>
        <w:t>con la obvia razón de estar acorde a las disposiciones constitucionales y legales.</w:t>
      </w:r>
    </w:p>
    <w:p w:rsidR="00A97F09" w:rsidRDefault="00A97F09" w:rsidP="00792B40">
      <w:pPr>
        <w:pStyle w:val="Default"/>
        <w:ind w:firstLine="709"/>
        <w:jc w:val="both"/>
        <w:rPr>
          <w:color w:val="auto"/>
          <w:sz w:val="22"/>
          <w:szCs w:val="22"/>
        </w:rPr>
      </w:pPr>
    </w:p>
    <w:p w:rsidR="00A97F09" w:rsidRDefault="00A97F09" w:rsidP="00792B40">
      <w:pPr>
        <w:pStyle w:val="Default"/>
        <w:ind w:firstLine="709"/>
        <w:jc w:val="both"/>
        <w:rPr>
          <w:color w:val="auto"/>
          <w:sz w:val="22"/>
          <w:szCs w:val="22"/>
        </w:rPr>
      </w:pPr>
      <w:r>
        <w:rPr>
          <w:color w:val="auto"/>
          <w:sz w:val="22"/>
          <w:szCs w:val="22"/>
        </w:rPr>
        <w:t xml:space="preserve">Por otra parte, el colegiado iniciante, adiciona un segundo párrafo y en atención a que nos encontramos en el apartado de facilidades administrativas, se respeta la voluntad de aquel. </w:t>
      </w:r>
    </w:p>
    <w:p w:rsidR="00A97F09" w:rsidRDefault="00A97F09" w:rsidP="00792B40">
      <w:pPr>
        <w:pStyle w:val="Default"/>
        <w:ind w:firstLine="709"/>
        <w:jc w:val="both"/>
        <w:rPr>
          <w:rFonts w:cstheme="minorBidi"/>
          <w:color w:val="auto"/>
        </w:rPr>
      </w:pPr>
    </w:p>
    <w:p w:rsidR="00423437" w:rsidRDefault="00423437" w:rsidP="00792B40">
      <w:pPr>
        <w:pStyle w:val="Default"/>
        <w:ind w:firstLine="709"/>
        <w:jc w:val="both"/>
        <w:rPr>
          <w:b/>
          <w:bCs/>
          <w:color w:val="auto"/>
          <w:sz w:val="22"/>
          <w:szCs w:val="22"/>
        </w:rPr>
      </w:pPr>
      <w:r>
        <w:rPr>
          <w:b/>
          <w:bCs/>
          <w:color w:val="auto"/>
          <w:sz w:val="22"/>
          <w:szCs w:val="22"/>
        </w:rPr>
        <w:t xml:space="preserve">Medios de Defensa aplicables al Impuesto Predial.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Como se argumentó ya en el apartado relativo al impuesto predial, se mantiene este Capítulo que encuentra sustento en la interpretación jurisprudencial de nuestro Máximo Tribunal, que considera respecto a los medios de defensa que se deben establecer para que el causante pueda desvirtuar la hipótesis impositiva, que en contribuciones tales como el impuesto predial, teniendo como finalidad el dar oportunidad para que el sujeto pasivo del tributo, exponga las razones del porqué su predio se encuentra en determinadas circunstancias en relación con la construcción.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b/>
          <w:bCs/>
          <w:color w:val="auto"/>
          <w:sz w:val="22"/>
          <w:szCs w:val="22"/>
        </w:rPr>
      </w:pPr>
      <w:r>
        <w:rPr>
          <w:b/>
          <w:bCs/>
          <w:color w:val="auto"/>
          <w:sz w:val="22"/>
          <w:szCs w:val="22"/>
        </w:rPr>
        <w:t xml:space="preserve">De los Ajustes Tarifarios.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Al igual que en el presente Ejercicio Fiscal, las Comisiones Dictaminadoras consideramos fundamental incorporar este capítulo para facilitar el redondeo en el cobro de contribuciones.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b/>
          <w:bCs/>
          <w:color w:val="auto"/>
          <w:sz w:val="22"/>
          <w:szCs w:val="22"/>
        </w:rPr>
      </w:pPr>
      <w:r>
        <w:rPr>
          <w:b/>
          <w:bCs/>
          <w:color w:val="auto"/>
          <w:sz w:val="22"/>
          <w:szCs w:val="22"/>
        </w:rPr>
        <w:t xml:space="preserve">Disposiciones Transitorias. </w:t>
      </w:r>
    </w:p>
    <w:p w:rsidR="00423437" w:rsidRDefault="00423437" w:rsidP="00792B40">
      <w:pPr>
        <w:pStyle w:val="Default"/>
        <w:ind w:firstLine="709"/>
        <w:jc w:val="both"/>
        <w:rPr>
          <w:color w:val="auto"/>
          <w:sz w:val="22"/>
          <w:szCs w:val="22"/>
        </w:rPr>
      </w:pPr>
    </w:p>
    <w:p w:rsidR="00423437" w:rsidRDefault="00423437" w:rsidP="00792B40">
      <w:pPr>
        <w:pStyle w:val="Default"/>
        <w:ind w:firstLine="709"/>
        <w:jc w:val="both"/>
        <w:rPr>
          <w:color w:val="auto"/>
          <w:sz w:val="22"/>
          <w:szCs w:val="22"/>
        </w:rPr>
      </w:pPr>
      <w:r>
        <w:rPr>
          <w:color w:val="auto"/>
          <w:sz w:val="22"/>
          <w:szCs w:val="22"/>
        </w:rPr>
        <w:t xml:space="preserve">Se mantienen los tres artículos transitorios y con ello se prevén las hipótesis de: </w:t>
      </w:r>
    </w:p>
    <w:p w:rsidR="00423437" w:rsidRDefault="00423437" w:rsidP="00792B40">
      <w:pPr>
        <w:pStyle w:val="Default"/>
        <w:ind w:firstLine="709"/>
        <w:jc w:val="both"/>
        <w:rPr>
          <w:color w:val="auto"/>
          <w:sz w:val="22"/>
          <w:szCs w:val="22"/>
        </w:rPr>
      </w:pPr>
    </w:p>
    <w:p w:rsidR="00423437" w:rsidRDefault="00423437" w:rsidP="00792B40">
      <w:pPr>
        <w:pStyle w:val="Default"/>
        <w:numPr>
          <w:ilvl w:val="0"/>
          <w:numId w:val="1"/>
        </w:numPr>
        <w:ind w:left="0" w:firstLine="709"/>
        <w:jc w:val="both"/>
        <w:rPr>
          <w:color w:val="auto"/>
          <w:sz w:val="22"/>
          <w:szCs w:val="22"/>
        </w:rPr>
      </w:pPr>
      <w:r>
        <w:rPr>
          <w:color w:val="auto"/>
          <w:sz w:val="22"/>
          <w:szCs w:val="22"/>
        </w:rPr>
        <w:lastRenderedPageBreak/>
        <w:t xml:space="preserve">La entrada en vigor de la Ley, prevista para el día primero de enero del 2016; </w:t>
      </w:r>
    </w:p>
    <w:p w:rsidR="00423437" w:rsidRDefault="00423437" w:rsidP="00792B40">
      <w:pPr>
        <w:pStyle w:val="Default"/>
        <w:ind w:firstLine="709"/>
        <w:jc w:val="both"/>
        <w:rPr>
          <w:color w:val="auto"/>
          <w:sz w:val="22"/>
          <w:szCs w:val="22"/>
        </w:rPr>
      </w:pPr>
    </w:p>
    <w:p w:rsidR="00423437" w:rsidRPr="00337275" w:rsidRDefault="00423437" w:rsidP="00792B40">
      <w:pPr>
        <w:pStyle w:val="Default"/>
        <w:numPr>
          <w:ilvl w:val="0"/>
          <w:numId w:val="1"/>
        </w:numPr>
        <w:ind w:left="0" w:firstLine="709"/>
        <w:jc w:val="both"/>
        <w:rPr>
          <w:color w:val="auto"/>
          <w:sz w:val="22"/>
          <w:szCs w:val="22"/>
        </w:rPr>
      </w:pPr>
      <w:r>
        <w:rPr>
          <w:color w:val="auto"/>
          <w:sz w:val="22"/>
          <w:szCs w:val="22"/>
        </w:rPr>
        <w:t xml:space="preserve">El Ayuntamiento, con la opinión de los organismos públicos competentes a que se refiere el artículo 424 del Código Territorial para el Estado y los Municipios de Guanajuato, facilitarán el trámite administrativo y el pago de derechos que se originen en la gestión del mismo para que puedan acceder a la dotación de los servicios de suministro de agua potable y drenaje, en los fraccionamientos habitacionales que se realicen bajo el procedimiento constructivo de urbanización progresiva para que tengan como incentivo fiscal el pago del 25% del total que corresponda al pago normal respecto a estos derechos; y </w:t>
      </w:r>
    </w:p>
    <w:p w:rsidR="00423437" w:rsidRDefault="00423437" w:rsidP="00792B40">
      <w:pPr>
        <w:pStyle w:val="Default"/>
        <w:ind w:firstLine="709"/>
        <w:jc w:val="both"/>
        <w:rPr>
          <w:rFonts w:cstheme="minorBidi"/>
          <w:color w:val="auto"/>
        </w:rPr>
      </w:pPr>
    </w:p>
    <w:p w:rsidR="00423437" w:rsidRDefault="00423437" w:rsidP="00792B40">
      <w:pPr>
        <w:pStyle w:val="Default"/>
        <w:numPr>
          <w:ilvl w:val="0"/>
          <w:numId w:val="1"/>
        </w:numPr>
        <w:ind w:left="0" w:firstLine="709"/>
        <w:jc w:val="both"/>
        <w:rPr>
          <w:color w:val="auto"/>
          <w:sz w:val="22"/>
          <w:szCs w:val="22"/>
        </w:rPr>
      </w:pPr>
      <w:r>
        <w:rPr>
          <w:color w:val="auto"/>
          <w:sz w:val="22"/>
          <w:szCs w:val="22"/>
        </w:rPr>
        <w:t xml:space="preserve">Para aclarar que cuando la Ley de Hacienda para los Municipios haga referencia a la Ley de Ingresos para los Municipios del Estado, se entenderá que se refiere a la presente Ley. </w:t>
      </w:r>
    </w:p>
    <w:p w:rsidR="00423437" w:rsidRDefault="00423437" w:rsidP="00792B40">
      <w:pPr>
        <w:pStyle w:val="Default"/>
        <w:ind w:firstLine="709"/>
        <w:jc w:val="both"/>
        <w:rPr>
          <w:color w:val="auto"/>
          <w:sz w:val="22"/>
          <w:szCs w:val="22"/>
        </w:rPr>
      </w:pPr>
    </w:p>
    <w:p w:rsidR="00423437" w:rsidRPr="00337275" w:rsidRDefault="00423437" w:rsidP="00792B40">
      <w:pPr>
        <w:pStyle w:val="Default"/>
        <w:ind w:firstLine="709"/>
        <w:jc w:val="both"/>
        <w:rPr>
          <w:color w:val="auto"/>
          <w:sz w:val="22"/>
          <w:szCs w:val="22"/>
        </w:rPr>
      </w:pPr>
      <w:r>
        <w:rPr>
          <w:color w:val="auto"/>
          <w:sz w:val="22"/>
          <w:szCs w:val="22"/>
        </w:rPr>
        <w:t>Por lo anteriormente expuesto, las diputadas y los diputados quienes integramos las Comisiones Unidas de Hacienda y Fiscalización y de Gobernación y Puntos Constitucionales, sometemos a la consideración de la Asamblea, el siguie</w:t>
      </w:r>
      <w:r w:rsidRPr="00337275">
        <w:rPr>
          <w:color w:val="auto"/>
          <w:sz w:val="22"/>
          <w:szCs w:val="22"/>
        </w:rPr>
        <w:t>nte:</w:t>
      </w:r>
    </w:p>
    <w:p w:rsidR="0033343C" w:rsidRDefault="0033343C" w:rsidP="00792B40">
      <w:pPr>
        <w:ind w:firstLine="709"/>
      </w:pPr>
    </w:p>
    <w:sectPr w:rsidR="0033343C" w:rsidSect="00263E09">
      <w:pgSz w:w="12240" w:h="15840" w:code="1"/>
      <w:pgMar w:top="2835" w:right="1701" w:bottom="1418" w:left="1701" w:header="709" w:footer="709" w:gutter="0"/>
      <w:paperSrc w:first="260" w:other="26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2F57C3"/>
    <w:multiLevelType w:val="hybridMultilevel"/>
    <w:tmpl w:val="17F0BE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437"/>
    <w:rsid w:val="00000A40"/>
    <w:rsid w:val="0004695E"/>
    <w:rsid w:val="000614A6"/>
    <w:rsid w:val="000736C4"/>
    <w:rsid w:val="00080311"/>
    <w:rsid w:val="00082DF7"/>
    <w:rsid w:val="00085BDB"/>
    <w:rsid w:val="000C19C7"/>
    <w:rsid w:val="000C1F2A"/>
    <w:rsid w:val="000C438D"/>
    <w:rsid w:val="000D143C"/>
    <w:rsid w:val="000D5700"/>
    <w:rsid w:val="000D5A5A"/>
    <w:rsid w:val="00105278"/>
    <w:rsid w:val="001203FE"/>
    <w:rsid w:val="00127C5E"/>
    <w:rsid w:val="0013153E"/>
    <w:rsid w:val="00170BBC"/>
    <w:rsid w:val="001742A5"/>
    <w:rsid w:val="00175B98"/>
    <w:rsid w:val="00183084"/>
    <w:rsid w:val="001B7A66"/>
    <w:rsid w:val="001F2187"/>
    <w:rsid w:val="00202307"/>
    <w:rsid w:val="00224723"/>
    <w:rsid w:val="002310B4"/>
    <w:rsid w:val="0025395F"/>
    <w:rsid w:val="00263E09"/>
    <w:rsid w:val="00264F3A"/>
    <w:rsid w:val="00266B08"/>
    <w:rsid w:val="002976BC"/>
    <w:rsid w:val="002A644E"/>
    <w:rsid w:val="002A69C1"/>
    <w:rsid w:val="002B38E9"/>
    <w:rsid w:val="002B4F13"/>
    <w:rsid w:val="002C30C2"/>
    <w:rsid w:val="002C6077"/>
    <w:rsid w:val="002E63CF"/>
    <w:rsid w:val="002F4E31"/>
    <w:rsid w:val="00311032"/>
    <w:rsid w:val="00317DB9"/>
    <w:rsid w:val="00322E02"/>
    <w:rsid w:val="0033343C"/>
    <w:rsid w:val="003379F0"/>
    <w:rsid w:val="00342CF6"/>
    <w:rsid w:val="0039067D"/>
    <w:rsid w:val="003A1937"/>
    <w:rsid w:val="003A56A4"/>
    <w:rsid w:val="003B053A"/>
    <w:rsid w:val="003E07F4"/>
    <w:rsid w:val="003E422B"/>
    <w:rsid w:val="003F07AB"/>
    <w:rsid w:val="003F2494"/>
    <w:rsid w:val="003F3E81"/>
    <w:rsid w:val="00402B72"/>
    <w:rsid w:val="0041459A"/>
    <w:rsid w:val="004228FA"/>
    <w:rsid w:val="00423437"/>
    <w:rsid w:val="0043235F"/>
    <w:rsid w:val="00432588"/>
    <w:rsid w:val="00443AE1"/>
    <w:rsid w:val="004543C2"/>
    <w:rsid w:val="004544AE"/>
    <w:rsid w:val="00475CF9"/>
    <w:rsid w:val="00476061"/>
    <w:rsid w:val="0048209A"/>
    <w:rsid w:val="0048667F"/>
    <w:rsid w:val="004B122A"/>
    <w:rsid w:val="004B47E5"/>
    <w:rsid w:val="004B57C0"/>
    <w:rsid w:val="004C07D4"/>
    <w:rsid w:val="004D60FC"/>
    <w:rsid w:val="004E5C86"/>
    <w:rsid w:val="004F61C1"/>
    <w:rsid w:val="00500D3F"/>
    <w:rsid w:val="005013FC"/>
    <w:rsid w:val="00505822"/>
    <w:rsid w:val="00532E09"/>
    <w:rsid w:val="00553AD4"/>
    <w:rsid w:val="00560626"/>
    <w:rsid w:val="00564D83"/>
    <w:rsid w:val="0057530D"/>
    <w:rsid w:val="00587C61"/>
    <w:rsid w:val="005A0AF2"/>
    <w:rsid w:val="005C2673"/>
    <w:rsid w:val="005D450E"/>
    <w:rsid w:val="0060214C"/>
    <w:rsid w:val="00630BBD"/>
    <w:rsid w:val="00634202"/>
    <w:rsid w:val="0063439E"/>
    <w:rsid w:val="00654130"/>
    <w:rsid w:val="00681964"/>
    <w:rsid w:val="00683AEB"/>
    <w:rsid w:val="006A21B9"/>
    <w:rsid w:val="006A3A7C"/>
    <w:rsid w:val="006A4B1F"/>
    <w:rsid w:val="006B1C4C"/>
    <w:rsid w:val="006B4C1D"/>
    <w:rsid w:val="006C58A6"/>
    <w:rsid w:val="006C70FA"/>
    <w:rsid w:val="00733EBD"/>
    <w:rsid w:val="00740192"/>
    <w:rsid w:val="0075365E"/>
    <w:rsid w:val="007706D4"/>
    <w:rsid w:val="00786E23"/>
    <w:rsid w:val="00792B40"/>
    <w:rsid w:val="00794397"/>
    <w:rsid w:val="007B6F10"/>
    <w:rsid w:val="007D35A6"/>
    <w:rsid w:val="007D5832"/>
    <w:rsid w:val="008419D8"/>
    <w:rsid w:val="00847D22"/>
    <w:rsid w:val="00855991"/>
    <w:rsid w:val="00870A44"/>
    <w:rsid w:val="00874DBA"/>
    <w:rsid w:val="008768C0"/>
    <w:rsid w:val="008965B4"/>
    <w:rsid w:val="008B11F3"/>
    <w:rsid w:val="008D3A44"/>
    <w:rsid w:val="008F3726"/>
    <w:rsid w:val="008F4F6D"/>
    <w:rsid w:val="00901167"/>
    <w:rsid w:val="00935565"/>
    <w:rsid w:val="00943C44"/>
    <w:rsid w:val="00953218"/>
    <w:rsid w:val="0097119D"/>
    <w:rsid w:val="009868AF"/>
    <w:rsid w:val="009C311F"/>
    <w:rsid w:val="009D29A5"/>
    <w:rsid w:val="009D5BD5"/>
    <w:rsid w:val="009E203B"/>
    <w:rsid w:val="009E4B89"/>
    <w:rsid w:val="009F00AF"/>
    <w:rsid w:val="009F2504"/>
    <w:rsid w:val="00A01018"/>
    <w:rsid w:val="00A022C9"/>
    <w:rsid w:val="00A15386"/>
    <w:rsid w:val="00A34894"/>
    <w:rsid w:val="00A5701E"/>
    <w:rsid w:val="00A66A88"/>
    <w:rsid w:val="00A72BD5"/>
    <w:rsid w:val="00A84E9B"/>
    <w:rsid w:val="00A96C8D"/>
    <w:rsid w:val="00A96E56"/>
    <w:rsid w:val="00A97F09"/>
    <w:rsid w:val="00AA2265"/>
    <w:rsid w:val="00AD5E72"/>
    <w:rsid w:val="00AD5F0F"/>
    <w:rsid w:val="00AE0DE1"/>
    <w:rsid w:val="00AE7EFA"/>
    <w:rsid w:val="00AF3EB1"/>
    <w:rsid w:val="00B049E8"/>
    <w:rsid w:val="00B04AAF"/>
    <w:rsid w:val="00B0790C"/>
    <w:rsid w:val="00B1472C"/>
    <w:rsid w:val="00B2641B"/>
    <w:rsid w:val="00B326B9"/>
    <w:rsid w:val="00B43F33"/>
    <w:rsid w:val="00B5040D"/>
    <w:rsid w:val="00B56194"/>
    <w:rsid w:val="00B86A5C"/>
    <w:rsid w:val="00B928F2"/>
    <w:rsid w:val="00BA1DCE"/>
    <w:rsid w:val="00BC08C9"/>
    <w:rsid w:val="00BE1026"/>
    <w:rsid w:val="00BE18AA"/>
    <w:rsid w:val="00C04524"/>
    <w:rsid w:val="00C07EA1"/>
    <w:rsid w:val="00C22133"/>
    <w:rsid w:val="00C237E9"/>
    <w:rsid w:val="00C47C19"/>
    <w:rsid w:val="00C51017"/>
    <w:rsid w:val="00C61A5C"/>
    <w:rsid w:val="00C72C9C"/>
    <w:rsid w:val="00C85C94"/>
    <w:rsid w:val="00C87409"/>
    <w:rsid w:val="00C9302E"/>
    <w:rsid w:val="00CA5910"/>
    <w:rsid w:val="00CA6C0B"/>
    <w:rsid w:val="00CC23B7"/>
    <w:rsid w:val="00CC4113"/>
    <w:rsid w:val="00CC4AC6"/>
    <w:rsid w:val="00CD467F"/>
    <w:rsid w:val="00CE0414"/>
    <w:rsid w:val="00CE5F1E"/>
    <w:rsid w:val="00CF447F"/>
    <w:rsid w:val="00CF5948"/>
    <w:rsid w:val="00D17449"/>
    <w:rsid w:val="00D31C10"/>
    <w:rsid w:val="00D4686C"/>
    <w:rsid w:val="00D51063"/>
    <w:rsid w:val="00D6084E"/>
    <w:rsid w:val="00D62F54"/>
    <w:rsid w:val="00D64444"/>
    <w:rsid w:val="00D90F57"/>
    <w:rsid w:val="00D97B43"/>
    <w:rsid w:val="00DA0984"/>
    <w:rsid w:val="00DD357B"/>
    <w:rsid w:val="00E1480C"/>
    <w:rsid w:val="00E16519"/>
    <w:rsid w:val="00E16EE5"/>
    <w:rsid w:val="00E51DFC"/>
    <w:rsid w:val="00E57614"/>
    <w:rsid w:val="00E60D12"/>
    <w:rsid w:val="00E74FF2"/>
    <w:rsid w:val="00E87ED8"/>
    <w:rsid w:val="00EA4340"/>
    <w:rsid w:val="00EA6754"/>
    <w:rsid w:val="00EA7896"/>
    <w:rsid w:val="00ED5A6E"/>
    <w:rsid w:val="00EE4B2F"/>
    <w:rsid w:val="00F01182"/>
    <w:rsid w:val="00F03920"/>
    <w:rsid w:val="00F06BAD"/>
    <w:rsid w:val="00F07C51"/>
    <w:rsid w:val="00F24007"/>
    <w:rsid w:val="00F26644"/>
    <w:rsid w:val="00F30A01"/>
    <w:rsid w:val="00F51FB9"/>
    <w:rsid w:val="00F707E1"/>
    <w:rsid w:val="00FB618B"/>
    <w:rsid w:val="00FC70CF"/>
    <w:rsid w:val="00FD5BDC"/>
    <w:rsid w:val="00FE3E7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0234C2-DDFB-4669-B08B-415E7BEAC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F1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423437"/>
    <w:pPr>
      <w:autoSpaceDE w:val="0"/>
      <w:autoSpaceDN w:val="0"/>
      <w:adjustRightInd w:val="0"/>
      <w:spacing w:after="0" w:line="240" w:lineRule="auto"/>
    </w:pPr>
    <w:rPr>
      <w:rFonts w:ascii="Verdana" w:hAnsi="Verdana" w:cs="Verdana"/>
      <w:color w:val="000000"/>
      <w:sz w:val="24"/>
      <w:szCs w:val="24"/>
    </w:rPr>
  </w:style>
  <w:style w:type="paragraph" w:styleId="Textoindependiente2">
    <w:name w:val="Body Text 2"/>
    <w:basedOn w:val="Normal"/>
    <w:link w:val="Textoindependiente2Car"/>
    <w:rsid w:val="00BE18AA"/>
    <w:pPr>
      <w:autoSpaceDE w:val="0"/>
      <w:autoSpaceDN w:val="0"/>
      <w:adjustRightInd w:val="0"/>
      <w:ind w:right="615"/>
      <w:jc w:val="both"/>
    </w:pPr>
    <w:rPr>
      <w:rFonts w:ascii="Arial" w:hAnsi="Arial"/>
      <w:sz w:val="18"/>
      <w:szCs w:val="20"/>
      <w:lang w:val="es-MX"/>
    </w:rPr>
  </w:style>
  <w:style w:type="character" w:customStyle="1" w:styleId="Textoindependiente2Car">
    <w:name w:val="Texto independiente 2 Car"/>
    <w:basedOn w:val="Fuentedeprrafopredeter"/>
    <w:link w:val="Textoindependiente2"/>
    <w:rsid w:val="00BE18AA"/>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263E0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63E09"/>
    <w:rPr>
      <w:rFonts w:ascii="Segoe UI" w:eastAsia="Times New Roman"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12</Pages>
  <Words>3570</Words>
  <Characters>19635</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23159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Aboites Arredondo</dc:creator>
  <cp:keywords/>
  <dc:description/>
  <cp:lastModifiedBy>Olivia Valtierra Vázquez</cp:lastModifiedBy>
  <cp:revision>42</cp:revision>
  <cp:lastPrinted>2015-12-08T15:14:00Z</cp:lastPrinted>
  <dcterms:created xsi:type="dcterms:W3CDTF">2015-11-30T18:41:00Z</dcterms:created>
  <dcterms:modified xsi:type="dcterms:W3CDTF">2015-12-08T15:17:00Z</dcterms:modified>
</cp:coreProperties>
</file>